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60402" w:rsidR="00E31AFA" w:rsidP="00C0150C" w:rsidRDefault="00E31AFA" w14:paraId="7DCC0CF1" w14:textId="7777777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bCs/>
          <w:color w:val="A02B93" w:themeColor="accent5"/>
          <w:sz w:val="28"/>
          <w:szCs w:val="28"/>
        </w:rPr>
      </w:pPr>
      <w:r w:rsidRPr="00660402">
        <w:rPr>
          <w:b/>
          <w:bCs/>
          <w:color w:val="A02B93" w:themeColor="accent5"/>
          <w:sz w:val="28"/>
          <w:szCs w:val="28"/>
        </w:rPr>
        <w:t>PROPOSAL TEMPLATE</w:t>
      </w:r>
    </w:p>
    <w:p w:rsidRPr="00660402" w:rsidR="00E31AFA" w:rsidP="00C0150C" w:rsidRDefault="00E31AFA" w14:paraId="012BB949" w14:textId="2256FA4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bCs/>
          <w:color w:val="A02B93" w:themeColor="accent5"/>
          <w:sz w:val="28"/>
          <w:szCs w:val="28"/>
        </w:rPr>
      </w:pPr>
      <w:r w:rsidRPr="00660402">
        <w:rPr>
          <w:color w:val="A02B93" w:themeColor="accent5"/>
          <w:sz w:val="28"/>
          <w:szCs w:val="28"/>
        </w:rPr>
        <w:t xml:space="preserve">Granting Program to Support </w:t>
      </w:r>
      <w:r w:rsidRPr="00660402">
        <w:rPr>
          <w:i/>
          <w:iCs/>
          <w:color w:val="A02B93" w:themeColor="accent5"/>
          <w:sz w:val="28"/>
          <w:szCs w:val="28"/>
        </w:rPr>
        <w:fldChar w:fldCharType="begin"/>
      </w:r>
      <w:r w:rsidRPr="00660402">
        <w:rPr>
          <w:i/>
          <w:color w:val="A02B93" w:themeColor="accent5"/>
          <w:sz w:val="28"/>
          <w:szCs w:val="28"/>
        </w:rPr>
        <w:instrText xml:space="preserve"> SEQ CHAPTER \h \r 1</w:instrText>
      </w:r>
      <w:r w:rsidRPr="00660402">
        <w:rPr>
          <w:i/>
          <w:iCs/>
          <w:color w:val="A02B93" w:themeColor="accent5"/>
          <w:sz w:val="28"/>
          <w:szCs w:val="28"/>
        </w:rPr>
        <w:fldChar w:fldCharType="end"/>
      </w:r>
      <w:r w:rsidRPr="00660402">
        <w:rPr>
          <w:i/>
          <w:color w:val="A02B93" w:themeColor="accent5"/>
          <w:sz w:val="28"/>
          <w:szCs w:val="28"/>
        </w:rPr>
        <w:t>Phragmites</w:t>
      </w:r>
      <w:r w:rsidRPr="00660402">
        <w:rPr>
          <w:color w:val="A02B93" w:themeColor="accent5"/>
          <w:sz w:val="28"/>
          <w:szCs w:val="28"/>
        </w:rPr>
        <w:t xml:space="preserve"> </w:t>
      </w:r>
      <w:r w:rsidRPr="00660402" w:rsidDel="4254D69D">
        <w:rPr>
          <w:color w:val="A02B93" w:themeColor="accent5"/>
          <w:sz w:val="28"/>
          <w:szCs w:val="28"/>
        </w:rPr>
        <w:t>A</w:t>
      </w:r>
      <w:r w:rsidRPr="00660402">
        <w:rPr>
          <w:color w:val="A02B93" w:themeColor="accent5"/>
          <w:sz w:val="28"/>
          <w:szCs w:val="28"/>
        </w:rPr>
        <w:t>daptive Management</w:t>
      </w:r>
    </w:p>
    <w:p w:rsidRPr="00660402" w:rsidR="00C0150C" w:rsidP="00C0150C" w:rsidRDefault="00C0150C" w14:paraId="6C02621C" w14:textId="0DA548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02B93" w:themeColor="accent5"/>
        </w:rPr>
      </w:pPr>
      <w:r w:rsidRPr="00660402">
        <w:rPr>
          <w:b/>
          <w:bCs/>
          <w:color w:val="A02B93" w:themeColor="accent5"/>
        </w:rPr>
        <w:t>202</w:t>
      </w:r>
      <w:r w:rsidR="0052678D">
        <w:rPr>
          <w:b/>
          <w:bCs/>
          <w:color w:val="A02B93" w:themeColor="accent5"/>
        </w:rPr>
        <w:t>6</w:t>
      </w:r>
      <w:r w:rsidRPr="00660402">
        <w:rPr>
          <w:b/>
          <w:bCs/>
          <w:color w:val="A02B93" w:themeColor="accent5"/>
        </w:rPr>
        <w:t xml:space="preserve"> REQUEST FOR GRANT PROPOSALS</w:t>
      </w:r>
    </w:p>
    <w:p w:rsidR="00C0150C" w:rsidP="00C0150C" w:rsidRDefault="00C0150C" w14:paraId="327ABC6A" w14:textId="42CC125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i/>
          <w:iCs/>
          <w:color w:val="A02B93" w:themeColor="accent5"/>
        </w:rPr>
      </w:pPr>
      <w:r w:rsidRPr="00660402">
        <w:rPr>
          <w:i/>
          <w:iCs/>
          <w:color w:val="A02B93" w:themeColor="accent5"/>
        </w:rPr>
        <w:t xml:space="preserve">Deadline: </w:t>
      </w:r>
      <w:r w:rsidR="0052678D">
        <w:rPr>
          <w:i/>
          <w:iCs/>
          <w:color w:val="A02B93" w:themeColor="accent5"/>
        </w:rPr>
        <w:t>Wednesday</w:t>
      </w:r>
      <w:r w:rsidRPr="00660402">
        <w:rPr>
          <w:i/>
          <w:iCs/>
          <w:color w:val="A02B93" w:themeColor="accent5"/>
        </w:rPr>
        <w:t xml:space="preserve">, April </w:t>
      </w:r>
      <w:r w:rsidR="0052678D">
        <w:rPr>
          <w:i/>
          <w:iCs/>
          <w:color w:val="A02B93" w:themeColor="accent5"/>
        </w:rPr>
        <w:t>15</w:t>
      </w:r>
      <w:r w:rsidRPr="00660402">
        <w:rPr>
          <w:i/>
          <w:iCs/>
          <w:color w:val="A02B93" w:themeColor="accent5"/>
        </w:rPr>
        <w:t>, 202</w:t>
      </w:r>
      <w:r w:rsidR="0052678D">
        <w:rPr>
          <w:i/>
          <w:iCs/>
          <w:color w:val="A02B93" w:themeColor="accent5"/>
        </w:rPr>
        <w:t>6</w:t>
      </w:r>
      <w:r w:rsidR="004F629C">
        <w:rPr>
          <w:i/>
          <w:iCs/>
          <w:color w:val="A02B93" w:themeColor="accent5"/>
        </w:rPr>
        <w:t xml:space="preserve"> at 5:00 p.m. Eastern</w:t>
      </w:r>
    </w:p>
    <w:p w:rsidRPr="00660402" w:rsidR="00C0150C" w:rsidP="009B48FD" w:rsidRDefault="00C0150C" w14:paraId="201BF7E9"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bCs/>
          <w:color w:val="A02B93" w:themeColor="accent5"/>
        </w:rPr>
      </w:pPr>
    </w:p>
    <w:p w:rsidRPr="00660402" w:rsidR="00657053" w:rsidP="0F9209D9" w:rsidRDefault="00657053" w14:paraId="5A8655F7" w14:textId="48E1F90B">
      <w:pPr>
        <w:pStyle w:val="Level1"/>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bCs/>
          <w:color w:val="A02B93" w:themeColor="accent5"/>
        </w:rPr>
      </w:pPr>
      <w:r w:rsidRPr="0F9209D9">
        <w:rPr>
          <w:b/>
          <w:bCs/>
          <w:color w:val="A02B93" w:themeColor="accent5"/>
        </w:rPr>
        <w:t>Instructions:</w:t>
      </w:r>
    </w:p>
    <w:p w:rsidRPr="00660402" w:rsidR="00657053" w:rsidP="009B48FD" w:rsidRDefault="00657053" w14:paraId="16B0AF24"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bCs/>
          <w:color w:val="A02B93" w:themeColor="accent5"/>
        </w:rPr>
      </w:pPr>
    </w:p>
    <w:p w:rsidRPr="002E5EF5" w:rsidR="00657053" w:rsidP="0F9209D9" w:rsidRDefault="00657053" w14:paraId="7395D3BB" w14:textId="46C472AF">
      <w:pPr>
        <w:pStyle w:val="Level1"/>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bCs/>
          <w:color w:val="A02B93" w:themeColor="accent5"/>
        </w:rPr>
      </w:pPr>
      <w:r w:rsidRPr="00803FEF">
        <w:rPr>
          <w:color w:val="A02B93" w:themeColor="accent5"/>
        </w:rPr>
        <w:t xml:space="preserve">Use this template to prepare your application for the PAMF </w:t>
      </w:r>
      <w:r w:rsidRPr="00803FEF" w:rsidR="00065E85">
        <w:rPr>
          <w:color w:val="A02B93" w:themeColor="accent5"/>
        </w:rPr>
        <w:t>Request for Proposals (</w:t>
      </w:r>
      <w:r w:rsidRPr="00803FEF">
        <w:rPr>
          <w:color w:val="A02B93" w:themeColor="accent5"/>
        </w:rPr>
        <w:t>RFP</w:t>
      </w:r>
      <w:r w:rsidRPr="00803FEF" w:rsidR="00065E85">
        <w:rPr>
          <w:color w:val="A02B93" w:themeColor="accent5"/>
        </w:rPr>
        <w:t>)</w:t>
      </w:r>
      <w:r w:rsidRPr="00803FEF" w:rsidR="00EB3503">
        <w:rPr>
          <w:color w:val="A02B93" w:themeColor="accent5"/>
        </w:rPr>
        <w:t xml:space="preserve"> </w:t>
      </w:r>
      <w:hyperlink w:history="1" r:id="rId10">
        <w:r w:rsidRPr="00803FEF" w:rsidR="00803FEF">
          <w:rPr>
            <w:rStyle w:val="Hyperlink"/>
            <w:color w:val="A02B93" w:themeColor="accent5"/>
          </w:rPr>
          <w:t>https://www.greatlakesphragmites.net/pamf/aamp-funding/</w:t>
        </w:r>
      </w:hyperlink>
      <w:r w:rsidRPr="00803FEF" w:rsidR="00803FEF">
        <w:rPr>
          <w:color w:val="A02B93" w:themeColor="accent5"/>
        </w:rPr>
        <w:t>.</w:t>
      </w:r>
      <w:r w:rsidR="00803FEF">
        <w:rPr>
          <w:b/>
          <w:bCs/>
          <w:color w:val="A02B93" w:themeColor="accent5"/>
        </w:rPr>
        <w:t xml:space="preserve"> </w:t>
      </w:r>
      <w:r w:rsidRPr="0F9209D9">
        <w:rPr>
          <w:b/>
          <w:bCs/>
          <w:color w:val="A02B93" w:themeColor="accent5"/>
          <w:u w:val="single"/>
        </w:rPr>
        <w:t>Delete all instructional text</w:t>
      </w:r>
      <w:r w:rsidRPr="0F9209D9" w:rsidR="007814FD">
        <w:rPr>
          <w:b/>
          <w:bCs/>
          <w:color w:val="A02B93" w:themeColor="accent5"/>
          <w:u w:val="single"/>
        </w:rPr>
        <w:t xml:space="preserve"> in purple</w:t>
      </w:r>
      <w:r w:rsidRPr="0F9209D9">
        <w:rPr>
          <w:b/>
          <w:bCs/>
          <w:color w:val="A02B93" w:themeColor="accent5"/>
          <w:u w:val="single"/>
        </w:rPr>
        <w:t>.</w:t>
      </w:r>
      <w:r w:rsidRPr="0F9209D9" w:rsidR="00065E85">
        <w:rPr>
          <w:b/>
          <w:bCs/>
          <w:color w:val="A02B93" w:themeColor="accent5"/>
          <w:u w:val="single"/>
        </w:rPr>
        <w:t xml:space="preserve"> </w:t>
      </w:r>
      <w:r w:rsidRPr="0F9209D9" w:rsidR="00065E85">
        <w:rPr>
          <w:color w:val="A02B93" w:themeColor="accent5"/>
        </w:rPr>
        <w:t xml:space="preserve">Note that this template is meant for use as a </w:t>
      </w:r>
      <w:r w:rsidRPr="0F9209D9" w:rsidR="00065E85">
        <w:rPr>
          <w:i/>
          <w:iCs/>
          <w:color w:val="A02B93" w:themeColor="accent5"/>
        </w:rPr>
        <w:t>guide</w:t>
      </w:r>
      <w:r w:rsidRPr="0F9209D9" w:rsidR="00065E85">
        <w:rPr>
          <w:color w:val="A02B93" w:themeColor="accent5"/>
        </w:rPr>
        <w:t>, please refer to the RFP for a</w:t>
      </w:r>
      <w:r w:rsidRPr="0F9209D9" w:rsidR="002E5EF5">
        <w:rPr>
          <w:color w:val="A02B93" w:themeColor="accent5"/>
        </w:rPr>
        <w:t>ll proposal requirements.</w:t>
      </w:r>
      <w:r w:rsidR="009D4185">
        <w:rPr>
          <w:color w:val="A02B93" w:themeColor="accent5"/>
        </w:rPr>
        <w:t>71</w:t>
      </w:r>
    </w:p>
    <w:p w:rsidRPr="00660402" w:rsidR="00657053" w:rsidP="009B48FD" w:rsidRDefault="00657053" w14:paraId="0F08500D"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bCs/>
          <w:color w:val="A02B93" w:themeColor="accent5"/>
        </w:rPr>
      </w:pPr>
    </w:p>
    <w:p w:rsidRPr="00660402" w:rsidR="009B48FD" w:rsidP="009B48FD" w:rsidRDefault="009B48FD" w14:paraId="17B27026" w14:textId="4A4BF445">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0660402">
        <w:rPr>
          <w:b/>
          <w:bCs/>
          <w:color w:val="A02B93" w:themeColor="accent5"/>
        </w:rPr>
        <w:t>Formatting:</w:t>
      </w:r>
      <w:r w:rsidRPr="00660402">
        <w:rPr>
          <w:color w:val="A02B93" w:themeColor="accent5"/>
        </w:rPr>
        <w:t xml:space="preserve"> Proposals must be </w:t>
      </w:r>
      <w:r w:rsidRPr="00660402">
        <w:rPr>
          <w:b/>
          <w:bCs/>
          <w:color w:val="A02B93" w:themeColor="accent5"/>
        </w:rPr>
        <w:t>five pages or less</w:t>
      </w:r>
      <w:r w:rsidRPr="00660402">
        <w:rPr>
          <w:color w:val="A02B93" w:themeColor="accent5"/>
        </w:rPr>
        <w:t xml:space="preserve"> (not including budget and attachments) with</w:t>
      </w:r>
      <w:r w:rsidRPr="00660402" w:rsidR="00FB1D2F">
        <w:rPr>
          <w:color w:val="A02B93" w:themeColor="accent5"/>
        </w:rPr>
        <w:t xml:space="preserve"> </w:t>
      </w:r>
      <w:r w:rsidRPr="00660402">
        <w:rPr>
          <w:color w:val="A02B93" w:themeColor="accent5"/>
        </w:rPr>
        <w:t xml:space="preserve">the exception of an additional page allowed per additional management unit. </w:t>
      </w:r>
      <w:r w:rsidRPr="00660402">
        <w:rPr>
          <w:b/>
          <w:bCs/>
          <w:color w:val="A02B93" w:themeColor="accent5"/>
        </w:rPr>
        <w:t xml:space="preserve">For example, proposals with six unique management units proposed are allowed 10 pages total. </w:t>
      </w:r>
      <w:r w:rsidRPr="00660402">
        <w:rPr>
          <w:color w:val="A02B93" w:themeColor="accent5"/>
        </w:rPr>
        <w:t xml:space="preserve">Shorter proposals are strongly encouraged. Proposals must be formatted with standard 1” margins, 12-point </w:t>
      </w:r>
      <w:r w:rsidR="009B2B9E">
        <w:rPr>
          <w:color w:val="A02B93" w:themeColor="accent5"/>
        </w:rPr>
        <w:t xml:space="preserve">black </w:t>
      </w:r>
      <w:r w:rsidRPr="00660402">
        <w:rPr>
          <w:color w:val="A02B93" w:themeColor="accent5"/>
        </w:rPr>
        <w:t xml:space="preserve">font, and single-spaced. </w:t>
      </w:r>
    </w:p>
    <w:p w:rsidRPr="00660402" w:rsidR="00EB2996" w:rsidP="009B48FD" w:rsidRDefault="00EB2996" w14:paraId="641A212A"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p>
    <w:p w:rsidR="00EB2996" w:rsidP="00157BD3" w:rsidRDefault="00EB2996" w14:paraId="4C7D7292" w14:textId="648F48B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bCs/>
        </w:rPr>
      </w:pPr>
      <w:r w:rsidRPr="007D4FA2">
        <w:rPr>
          <w:b/>
          <w:bCs/>
        </w:rPr>
        <w:fldChar w:fldCharType="begin"/>
      </w:r>
      <w:r w:rsidRPr="007D4FA2">
        <w:rPr>
          <w:b/>
          <w:bCs/>
        </w:rPr>
        <w:instrText xml:space="preserve"> SEQ CHAPTER \h \r 1</w:instrText>
      </w:r>
      <w:r w:rsidRPr="007D4FA2">
        <w:rPr>
          <w:b/>
          <w:bCs/>
        </w:rPr>
        <w:fldChar w:fldCharType="end"/>
      </w:r>
      <w:r w:rsidRPr="007D4FA2" w:rsidR="007D4FA2">
        <w:rPr>
          <w:b/>
          <w:bCs/>
        </w:rPr>
        <w:t>PAMF</w:t>
      </w:r>
      <w:r w:rsidRPr="007D4FA2">
        <w:rPr>
          <w:b/>
          <w:bCs/>
        </w:rPr>
        <w:t xml:space="preserve"> </w:t>
      </w:r>
      <w:r w:rsidR="007D4FA2">
        <w:rPr>
          <w:b/>
          <w:bCs/>
        </w:rPr>
        <w:t xml:space="preserve">Active </w:t>
      </w:r>
      <w:r w:rsidRPr="007859FF" w:rsidDel="4254D69D">
        <w:rPr>
          <w:b/>
          <w:bCs/>
        </w:rPr>
        <w:t>A</w:t>
      </w:r>
      <w:r w:rsidRPr="007859FF">
        <w:rPr>
          <w:b/>
          <w:bCs/>
        </w:rPr>
        <w:t xml:space="preserve">daptive Management </w:t>
      </w:r>
      <w:r w:rsidR="007D4FA2">
        <w:rPr>
          <w:b/>
          <w:bCs/>
        </w:rPr>
        <w:t xml:space="preserve">Program </w:t>
      </w:r>
      <w:r w:rsidRPr="007859FF">
        <w:rPr>
          <w:b/>
          <w:bCs/>
        </w:rPr>
        <w:t>Grant Proposal</w:t>
      </w:r>
    </w:p>
    <w:p w:rsidR="006F2F38" w:rsidP="00157BD3" w:rsidRDefault="006F2F38" w14:paraId="65032E77" w14:textId="7777777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bCs/>
        </w:rPr>
      </w:pPr>
    </w:p>
    <w:p w:rsidRPr="006F2F38" w:rsidR="006F2F38" w:rsidP="006F2F38" w:rsidRDefault="00956E78" w14:paraId="017B48FC" w14:textId="6D5F81D6">
      <w:pPr>
        <w:pStyle w:val="ListParagraph"/>
        <w:numPr>
          <w:ilvl w:val="0"/>
          <w:numId w:val="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r>
        <w:rPr>
          <w:b/>
          <w:bCs/>
        </w:rPr>
        <w:t>Proposal Narrative</w:t>
      </w:r>
    </w:p>
    <w:p w:rsidRPr="00660402" w:rsidR="00657053" w:rsidP="009B48FD" w:rsidRDefault="00657053" w14:paraId="523B1A18" w14:textId="77777777">
      <w:pPr>
        <w:numPr>
          <w:ilvl w:val="12"/>
          <w:numId w:val="0"/>
        </w:numPr>
        <w:tabs>
          <w:tab w:val="clear" w:pos="2160"/>
          <w:tab w:val="left" w:pos="-1200"/>
          <w:tab w:val="left" w:pos="-720"/>
          <w:tab w:val="left" w:pos="19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660402" w:rsidR="00657053" w:rsidP="009B48FD" w:rsidRDefault="009B48FD" w14:paraId="7A534B9A" w14:textId="77777777">
      <w:pPr>
        <w:pStyle w:val="Level1"/>
        <w:numPr>
          <w:ilvl w:val="0"/>
          <w:numId w:val="2"/>
        </w:numPr>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660402">
        <w:rPr>
          <w:u w:val="single"/>
        </w:rPr>
        <w:t>Project Title and Abstract</w:t>
      </w:r>
      <w:r w:rsidRPr="00660402">
        <w:t xml:space="preserve">: </w:t>
      </w:r>
    </w:p>
    <w:p w:rsidRPr="00660402" w:rsidR="00657053" w:rsidP="00657053" w:rsidRDefault="00657053" w14:paraId="4E72A0B1"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Pr="00660402" w:rsidR="009B48FD" w:rsidP="01EFF04A" w:rsidRDefault="009B48FD" w14:paraId="444D654A" w14:textId="2630A8C3">
      <w:pPr>
        <w:pStyle w:val="Level1"/>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F9209D9">
        <w:rPr>
          <w:color w:val="9F2B92"/>
        </w:rPr>
        <w:t>Provide a descriptive title for the proposed project (including the state/</w:t>
      </w:r>
      <w:r w:rsidRPr="0F9209D9" w:rsidR="13FD4847">
        <w:rPr>
          <w:color w:val="9F2B92"/>
        </w:rPr>
        <w:t>Native</w:t>
      </w:r>
      <w:r w:rsidRPr="0F9209D9">
        <w:rPr>
          <w:color w:val="9F2B92"/>
        </w:rPr>
        <w:t xml:space="preserve"> lands where the project will take place) and a one-paragraph abstract summarizing the proposal (including number of management units and priority management combination(s) selected).</w:t>
      </w:r>
      <w:r w:rsidRPr="0F9209D9" w:rsidR="00DC2E20">
        <w:rPr>
          <w:color w:val="9F2B92"/>
        </w:rPr>
        <w:t xml:space="preserve"> Indicate the management combination by its number and full name from the table in the </w:t>
      </w:r>
      <w:r w:rsidRPr="00095C6F" w:rsidR="335BCEC8">
        <w:rPr>
          <w:color w:val="9F2B92"/>
        </w:rPr>
        <w:t>BACKGROUND</w:t>
      </w:r>
      <w:r w:rsidRPr="0F9209D9" w:rsidR="00DC2E20">
        <w:rPr>
          <w:color w:val="9F2B92"/>
        </w:rPr>
        <w:t xml:space="preserve"> section (e.g., “#1-Glyphosate, Pre-Flood Clearing, Flood).”</w:t>
      </w:r>
    </w:p>
    <w:p w:rsidRPr="00660402" w:rsidR="009B48FD" w:rsidP="009B48FD" w:rsidRDefault="009B48FD" w14:paraId="683397C1" w14:textId="77777777">
      <w:pPr>
        <w:numPr>
          <w:ilvl w:val="12"/>
          <w:numId w:val="0"/>
        </w:numPr>
        <w:tabs>
          <w:tab w:val="clear" w:pos="2160"/>
          <w:tab w:val="left" w:pos="-1200"/>
          <w:tab w:val="left" w:pos="-720"/>
          <w:tab w:val="left" w:pos="19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660402" w:rsidR="00657053" w:rsidP="009B48FD" w:rsidRDefault="009B48FD" w14:paraId="4BF9A843" w14:textId="77777777">
      <w:pPr>
        <w:pStyle w:val="Level1"/>
        <w:numPr>
          <w:ilvl w:val="0"/>
          <w:numId w:val="2"/>
        </w:numPr>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660402">
        <w:rPr>
          <w:u w:val="single"/>
        </w:rPr>
        <w:t>Applicant Information</w:t>
      </w:r>
      <w:r w:rsidRPr="00660402">
        <w:t xml:space="preserve">: </w:t>
      </w:r>
    </w:p>
    <w:p w:rsidRPr="00660402" w:rsidR="00657053" w:rsidP="00657053" w:rsidRDefault="00657053" w14:paraId="1C3643DF"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Pr="00660402" w:rsidR="009B48FD" w:rsidP="009B48FD" w:rsidRDefault="009B48FD" w14:paraId="403618AB" w14:textId="33DC791C">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0660402">
        <w:rPr>
          <w:color w:val="A02B93" w:themeColor="accent5"/>
        </w:rPr>
        <w:t>Name, address, and contact numbers for the applicant, including the primary contact (name, phone number, and email address).</w:t>
      </w:r>
    </w:p>
    <w:p w:rsidRPr="00660402" w:rsidR="00657053" w:rsidP="009B48FD" w:rsidRDefault="00657053" w14:paraId="1F1E5790"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Pr="00660402" w:rsidR="00657053" w:rsidP="009B48FD" w:rsidRDefault="009B48FD" w14:paraId="3C514372" w14:textId="77777777">
      <w:pPr>
        <w:pStyle w:val="Level1"/>
        <w:numPr>
          <w:ilvl w:val="0"/>
          <w:numId w:val="2"/>
        </w:numPr>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660402">
        <w:rPr>
          <w:u w:val="single"/>
        </w:rPr>
        <w:t>Applicant Background</w:t>
      </w:r>
      <w:r w:rsidRPr="00660402">
        <w:t xml:space="preserve">: </w:t>
      </w:r>
    </w:p>
    <w:p w:rsidRPr="00660402" w:rsidR="00657053" w:rsidP="00657053" w:rsidRDefault="00657053" w14:paraId="3A2B8606"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Pr="00660402" w:rsidR="009B48FD" w:rsidP="00657053" w:rsidRDefault="009B48FD" w14:paraId="765D413E" w14:textId="14952EA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0660402">
        <w:rPr>
          <w:color w:val="A02B93" w:themeColor="accent5"/>
        </w:rPr>
        <w:t>Brief description of the applicant (e.g., type of organization, nonprofit status).</w:t>
      </w:r>
    </w:p>
    <w:p w:rsidRPr="00660402" w:rsidR="009B48FD" w:rsidP="009B48FD" w:rsidRDefault="009B48FD" w14:paraId="729CE1A7" w14:textId="77777777">
      <w:pPr>
        <w:numPr>
          <w:ilvl w:val="12"/>
          <w:numId w:val="0"/>
        </w:numPr>
        <w:tabs>
          <w:tab w:val="clear" w:pos="2160"/>
          <w:tab w:val="left" w:pos="-1200"/>
          <w:tab w:val="left" w:pos="-720"/>
          <w:tab w:val="left" w:pos="19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660402" w:rsidR="00657053" w:rsidP="009B48FD" w:rsidRDefault="009B48FD" w14:paraId="40A6B300" w14:textId="77777777">
      <w:pPr>
        <w:pStyle w:val="Level1"/>
        <w:numPr>
          <w:ilvl w:val="0"/>
          <w:numId w:val="2"/>
        </w:numPr>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660402">
        <w:rPr>
          <w:u w:val="single"/>
        </w:rPr>
        <w:t>Statement of Qualifications</w:t>
      </w:r>
      <w:r w:rsidRPr="00660402">
        <w:t xml:space="preserve">: </w:t>
      </w:r>
    </w:p>
    <w:p w:rsidRPr="00660402" w:rsidR="00657053" w:rsidP="00657053" w:rsidRDefault="00657053" w14:paraId="367F67A7"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Pr="00660402" w:rsidR="009B48FD" w:rsidP="00657053" w:rsidRDefault="009B48FD" w14:paraId="0789C6DF" w14:textId="562DCF88">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0660402">
        <w:rPr>
          <w:color w:val="A02B93" w:themeColor="accent5"/>
        </w:rPr>
        <w:t xml:space="preserve">Summarize the applicant’s professional experience as it relates to the general selection criteria listed. </w:t>
      </w:r>
    </w:p>
    <w:p w:rsidR="009B48FD" w:rsidP="009B48FD" w:rsidRDefault="009B48FD" w14:paraId="4B9F0E96"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00362186" w:rsidP="009B48FD" w:rsidRDefault="00362186" w14:paraId="52C1DEEB"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Pr="00660402" w:rsidR="00362186" w:rsidP="009B48FD" w:rsidRDefault="00362186" w14:paraId="5F16B748"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Pr="00660402" w:rsidR="00657053" w:rsidP="009B48FD" w:rsidRDefault="009B48FD" w14:paraId="481338F6" w14:textId="77777777">
      <w:pPr>
        <w:pStyle w:val="Level1"/>
        <w:numPr>
          <w:ilvl w:val="0"/>
          <w:numId w:val="2"/>
        </w:num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660402">
        <w:rPr>
          <w:u w:val="single"/>
        </w:rPr>
        <w:lastRenderedPageBreak/>
        <w:t>Work Plan</w:t>
      </w:r>
      <w:r w:rsidRPr="00660402">
        <w:t xml:space="preserve">: </w:t>
      </w:r>
    </w:p>
    <w:p w:rsidRPr="00660402" w:rsidR="00657053" w:rsidP="00657053" w:rsidRDefault="00657053" w14:paraId="6BCEA0A8" w14:textId="77777777">
      <w:pPr>
        <w:pStyle w:val="Level1"/>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Pr="00660402" w:rsidR="009B48FD" w:rsidP="00657053" w:rsidRDefault="009B48FD" w14:paraId="2FFF6576" w14:textId="1BB4C976">
      <w:pPr>
        <w:pStyle w:val="Level1"/>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F9209D9">
        <w:rPr>
          <w:color w:val="9F2B92"/>
        </w:rPr>
        <w:t xml:space="preserve">Explain how the project will align with the goals and protocols of the </w:t>
      </w:r>
      <w:r w:rsidRPr="0F9209D9">
        <w:rPr>
          <w:i/>
          <w:iCs/>
          <w:color w:val="9F2B92"/>
        </w:rPr>
        <w:t>Phragmites</w:t>
      </w:r>
      <w:r w:rsidRPr="0F9209D9">
        <w:rPr>
          <w:color w:val="9F2B92"/>
        </w:rPr>
        <w:t xml:space="preserve"> Adaptive Management Framework and specify which priority management combination(s) will be used to manage </w:t>
      </w:r>
      <w:r w:rsidRPr="0F9209D9">
        <w:rPr>
          <w:i/>
          <w:iCs/>
          <w:color w:val="9F2B92"/>
        </w:rPr>
        <w:t>Phragmites</w:t>
      </w:r>
      <w:r w:rsidRPr="0F9209D9">
        <w:rPr>
          <w:color w:val="9F2B92"/>
        </w:rPr>
        <w:t xml:space="preserve">. Indicate the management combination by its number and full name from the table in the BACKGROUND section (e.g., “#1-Glyphosate, Pre-Flood Clearing, Flood).” Specify willingness for participation in optional management activities (see </w:t>
      </w:r>
      <w:r w:rsidRPr="0F9209D9">
        <w:rPr>
          <w:i/>
          <w:iCs/>
          <w:color w:val="9F2B92"/>
        </w:rPr>
        <w:t>Eligible Activities</w:t>
      </w:r>
      <w:r w:rsidRPr="0F9209D9">
        <w:rPr>
          <w:color w:val="9F2B92"/>
        </w:rPr>
        <w:t xml:space="preserve"> </w:t>
      </w:r>
      <w:r w:rsidRPr="0F9209D9" w:rsidR="6DC2E080">
        <w:rPr>
          <w:color w:val="9F2B92"/>
        </w:rPr>
        <w:t xml:space="preserve">under the GRANT SPECIFICATIONS </w:t>
      </w:r>
      <w:r w:rsidRPr="0F9209D9">
        <w:rPr>
          <w:color w:val="9F2B92"/>
        </w:rPr>
        <w:t xml:space="preserve">section). Include details of any associated communication plans. </w:t>
      </w:r>
    </w:p>
    <w:p w:rsidRPr="00660402" w:rsidR="009B48FD" w:rsidP="009B48FD" w:rsidRDefault="009B48FD" w14:paraId="73E438F4" w14:textId="77777777">
      <w:pPr>
        <w:pStyle w:val="ListParagraph"/>
      </w:pPr>
    </w:p>
    <w:p w:rsidRPr="00660402" w:rsidR="00657053" w:rsidP="77C1D76C" w:rsidRDefault="798398AD" w14:paraId="3370EEF5" w14:textId="4B41E8B8">
      <w:pPr>
        <w:pStyle w:val="Level1"/>
        <w:numPr>
          <w:ilvl w:val="0"/>
          <w:numId w:val="2"/>
        </w:num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77C1D76C">
        <w:rPr>
          <w:u w:val="single"/>
        </w:rPr>
        <w:t>Project Location</w:t>
      </w:r>
      <w:r w:rsidRPr="77C1D76C" w:rsidR="4DEEED1F">
        <w:rPr>
          <w:u w:val="single"/>
        </w:rPr>
        <w:t>(s)</w:t>
      </w:r>
      <w:r>
        <w:t xml:space="preserve">: </w:t>
      </w:r>
    </w:p>
    <w:p w:rsidR="00657053" w:rsidP="00657053" w:rsidRDefault="00657053" w14:paraId="2ABBF77D"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Pr="00065E85" w:rsidR="00065E85" w:rsidP="01EFF04A" w:rsidRDefault="00065E85" w14:paraId="67D48839" w14:textId="35EB1C04">
      <w:pPr>
        <w:pStyle w:val="Level1"/>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F9209D9">
        <w:rPr>
          <w:color w:val="A02B93" w:themeColor="accent5"/>
        </w:rPr>
        <w:t xml:space="preserve">Activities must take place within areas invaded by non-native </w:t>
      </w:r>
      <w:r w:rsidRPr="00D5475B">
        <w:rPr>
          <w:i/>
          <w:iCs/>
          <w:color w:val="A02B93" w:themeColor="accent5"/>
        </w:rPr>
        <w:t>Phragmites</w:t>
      </w:r>
      <w:r w:rsidRPr="0F9209D9">
        <w:rPr>
          <w:color w:val="A02B93" w:themeColor="accent5"/>
        </w:rPr>
        <w:t xml:space="preserve"> including but not limited to wetlands, shorelines, riparian zones, roadsides, drainage areas, etc. Preference will be given to applicants that can show direct benefit to the Great Lakes. Activities do not need to take place within the Great Lakes basin to apply for this funding, so long as proposed activities and locations contribute substantially to the management of </w:t>
      </w:r>
      <w:r w:rsidRPr="00411C67">
        <w:rPr>
          <w:i/>
          <w:iCs/>
          <w:color w:val="A02B93" w:themeColor="accent5"/>
        </w:rPr>
        <w:t>Phragmites</w:t>
      </w:r>
      <w:r w:rsidRPr="0F9209D9">
        <w:rPr>
          <w:color w:val="A02B93" w:themeColor="accent5"/>
        </w:rPr>
        <w:t xml:space="preserve"> in the Great Lakes basin.</w:t>
      </w:r>
      <w:r w:rsidR="0036099E">
        <w:t xml:space="preserve"> </w:t>
      </w:r>
      <w:r w:rsidRPr="0F9209D9" w:rsidR="0036099E">
        <w:rPr>
          <w:color w:val="A02B93" w:themeColor="accent5"/>
        </w:rPr>
        <w:t xml:space="preserve">A map of the basin boundaries is available online: </w:t>
      </w:r>
      <w:hyperlink w:history="1" r:id="rId11">
        <w:r w:rsidRPr="01EFF04A" w:rsidR="0036099E">
          <w:rPr>
            <w:rStyle w:val="Hyperlink"/>
          </w:rPr>
          <w:t>https://arcg.is/1eP1LK0</w:t>
        </w:r>
      </w:hyperlink>
      <w:r w:rsidRPr="0F9209D9" w:rsidR="6D4F0421">
        <w:rPr>
          <w:color w:val="A02B93" w:themeColor="accent5"/>
        </w:rPr>
        <w:t xml:space="preserve"> </w:t>
      </w:r>
    </w:p>
    <w:p w:rsidRPr="00660402" w:rsidR="00065E85" w:rsidP="00657053" w:rsidRDefault="00065E85" w14:paraId="0702B1A5"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Pr="00660402" w:rsidR="009B48FD" w:rsidP="00657053" w:rsidRDefault="009B48FD" w14:paraId="1569E7B9" w14:textId="0E8BF829">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0660402">
        <w:rPr>
          <w:color w:val="A02B93" w:themeColor="accent5"/>
        </w:rPr>
        <w:t>Satellite map (or similar) of each management unit to be enrolled and managed. If planning multiple management combinations, indicate which management combination will be used on which management units. In your map(s), include the following:</w:t>
      </w:r>
    </w:p>
    <w:p w:rsidRPr="00660402" w:rsidR="009B48FD" w:rsidP="00B82686" w:rsidRDefault="009B48FD" w14:paraId="1AEB5A15" w14:textId="26B73D11">
      <w:pPr>
        <w:pStyle w:val="ListParagraph"/>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170" w:hanging="450"/>
        <w:contextualSpacing w:val="0"/>
        <w:rPr>
          <w:bCs/>
          <w:color w:val="A02B93" w:themeColor="accent5"/>
        </w:rPr>
      </w:pPr>
      <w:r w:rsidRPr="00660402">
        <w:rPr>
          <w:bCs/>
          <w:color w:val="A02B93" w:themeColor="accent5"/>
        </w:rPr>
        <w:t>The name you will use to identify the management unit (e.g., “Crossroads Patch 1”, “XYZ Park”) either placed directly on the map or nearby in the narrative.</w:t>
      </w:r>
      <w:r w:rsidR="00D821A8">
        <w:rPr>
          <w:bCs/>
          <w:color w:val="A02B93" w:themeColor="accent5"/>
        </w:rPr>
        <w:t xml:space="preserve"> When naming your management units, please </w:t>
      </w:r>
      <w:r w:rsidR="00AD5DA6">
        <w:rPr>
          <w:bCs/>
          <w:color w:val="A02B93" w:themeColor="accent5"/>
        </w:rPr>
        <w:t>use</w:t>
      </w:r>
      <w:r w:rsidR="00D821A8">
        <w:rPr>
          <w:bCs/>
          <w:color w:val="A02B93" w:themeColor="accent5"/>
        </w:rPr>
        <w:t xml:space="preserve"> a descriptive name (e.g., “</w:t>
      </w:r>
      <w:r w:rsidR="00C65F13">
        <w:rPr>
          <w:bCs/>
          <w:color w:val="A02B93" w:themeColor="accent5"/>
        </w:rPr>
        <w:t>XYZ Park – Parking lot”, “XYZ Park – Pond”</w:t>
      </w:r>
      <w:r w:rsidR="00FD4BBD">
        <w:rPr>
          <w:bCs/>
          <w:color w:val="A02B93" w:themeColor="accent5"/>
        </w:rPr>
        <w:t xml:space="preserve">, “ABC Wildlife Refuge </w:t>
      </w:r>
      <w:r w:rsidR="00B75F58">
        <w:rPr>
          <w:bCs/>
          <w:color w:val="A02B93" w:themeColor="accent5"/>
        </w:rPr>
        <w:t>N</w:t>
      </w:r>
      <w:r w:rsidR="00FD4BBD">
        <w:rPr>
          <w:bCs/>
          <w:color w:val="A02B93" w:themeColor="accent5"/>
        </w:rPr>
        <w:t>”</w:t>
      </w:r>
      <w:r w:rsidR="00EF5387">
        <w:rPr>
          <w:bCs/>
          <w:color w:val="A02B93" w:themeColor="accent5"/>
        </w:rPr>
        <w:t xml:space="preserve">, “ABC Wildlife Refuge </w:t>
      </w:r>
      <w:r w:rsidR="00B75F58">
        <w:rPr>
          <w:bCs/>
          <w:color w:val="A02B93" w:themeColor="accent5"/>
        </w:rPr>
        <w:t>S</w:t>
      </w:r>
      <w:r w:rsidR="00EF5387">
        <w:rPr>
          <w:bCs/>
          <w:color w:val="A02B93" w:themeColor="accent5"/>
        </w:rPr>
        <w:t>”</w:t>
      </w:r>
      <w:r w:rsidR="00C65F13">
        <w:rPr>
          <w:bCs/>
          <w:color w:val="A02B93" w:themeColor="accent5"/>
        </w:rPr>
        <w:t xml:space="preserve">) rather than </w:t>
      </w:r>
      <w:r w:rsidR="00AD5DA6">
        <w:rPr>
          <w:bCs/>
          <w:color w:val="A02B93" w:themeColor="accent5"/>
        </w:rPr>
        <w:t>simply “Management unit 1.”</w:t>
      </w:r>
      <w:r w:rsidR="009471CC">
        <w:rPr>
          <w:bCs/>
          <w:color w:val="A02B93" w:themeColor="accent5"/>
        </w:rPr>
        <w:t xml:space="preserve"> </w:t>
      </w:r>
      <w:r w:rsidRPr="009471CC" w:rsidR="009471CC">
        <w:rPr>
          <w:b/>
          <w:bCs/>
          <w:color w:val="A02B93" w:themeColor="accent5"/>
        </w:rPr>
        <w:t>Avoid numbering your management units as that makes it easy to mix up locations.</w:t>
      </w:r>
    </w:p>
    <w:p w:rsidRPr="00660402" w:rsidR="009B48FD" w:rsidP="00B82686" w:rsidRDefault="009B48FD" w14:paraId="51EBA21B" w14:textId="77777777">
      <w:pPr>
        <w:pStyle w:val="ListParagraph"/>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170" w:hanging="450"/>
        <w:contextualSpacing w:val="0"/>
        <w:rPr>
          <w:bCs/>
          <w:color w:val="A02B93" w:themeColor="accent5"/>
        </w:rPr>
      </w:pPr>
      <w:r w:rsidRPr="00660402">
        <w:rPr>
          <w:bCs/>
          <w:color w:val="A02B93" w:themeColor="accent5"/>
        </w:rPr>
        <w:t xml:space="preserve">A boundary line drawn to surround the management unit (the entire area over which you will be able to uniformly manage </w:t>
      </w:r>
      <w:r w:rsidRPr="00660402">
        <w:rPr>
          <w:bCs/>
          <w:i/>
          <w:iCs/>
          <w:color w:val="A02B93" w:themeColor="accent5"/>
        </w:rPr>
        <w:t>Phragmites</w:t>
      </w:r>
      <w:r w:rsidRPr="00660402">
        <w:rPr>
          <w:bCs/>
          <w:color w:val="A02B93" w:themeColor="accent5"/>
        </w:rPr>
        <w:t>).</w:t>
      </w:r>
    </w:p>
    <w:p w:rsidRPr="00660402" w:rsidR="009B48FD" w:rsidP="00B82686" w:rsidRDefault="009B48FD" w14:paraId="57B6D4C7" w14:textId="0910723D">
      <w:pPr>
        <w:pStyle w:val="ListParagraph"/>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170" w:hanging="450"/>
        <w:contextualSpacing w:val="0"/>
        <w:rPr>
          <w:bCs/>
          <w:color w:val="A02B93" w:themeColor="accent5"/>
        </w:rPr>
      </w:pPr>
      <w:r w:rsidRPr="00660402">
        <w:rPr>
          <w:bCs/>
          <w:color w:val="A02B93" w:themeColor="accent5"/>
        </w:rPr>
        <w:t>An indication of scale, such as a scale bar. Narrative or map must also include an estimate of the management unit’s area (i.e., acres, hectares, square meters).</w:t>
      </w:r>
    </w:p>
    <w:p w:rsidRPr="00660402" w:rsidR="009B48FD" w:rsidP="00B82686" w:rsidRDefault="009B48FD" w14:paraId="1C0DB082" w14:textId="34AD4CED">
      <w:pPr>
        <w:pStyle w:val="ListParagraph"/>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170" w:hanging="450"/>
        <w:contextualSpacing w:val="0"/>
        <w:rPr>
          <w:bCs/>
          <w:color w:val="A02B93" w:themeColor="accent5"/>
        </w:rPr>
      </w:pPr>
      <w:r w:rsidRPr="00660402">
        <w:rPr>
          <w:bCs/>
          <w:color w:val="A02B93" w:themeColor="accent5"/>
        </w:rPr>
        <w:t xml:space="preserve">An indication of the location within the surrounding landscape, e.g., the latitude/longitude of the site, and/or nearby cross streets, cities, or other landmarks. </w:t>
      </w:r>
    </w:p>
    <w:p w:rsidRPr="00660402" w:rsidR="00362186" w:rsidP="00881E92" w:rsidRDefault="00362186" w14:paraId="4D6900B4" w14:textId="6BD7B26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Cs/>
          <w:color w:val="A02B93" w:themeColor="accent5"/>
        </w:rPr>
      </w:pPr>
    </w:p>
    <w:p w:rsidRPr="00660402" w:rsidR="00881E92" w:rsidP="0F9209D9" w:rsidRDefault="00F51A0B" w14:paraId="1C233467" w14:textId="69F9B6E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A02B93" w:themeColor="accent5"/>
        </w:rPr>
      </w:pPr>
      <w:r w:rsidRPr="00660402">
        <w:rPr>
          <w:noProof/>
        </w:rPr>
        <w:lastRenderedPageBreak/>
        <w:drawing>
          <wp:anchor distT="0" distB="0" distL="114300" distR="114300" simplePos="0" relativeHeight="251658240" behindDoc="0" locked="0" layoutInCell="1" allowOverlap="1" wp14:anchorId="5243192B" wp14:editId="2BEB45D7">
            <wp:simplePos x="0" y="0"/>
            <wp:positionH relativeFrom="column">
              <wp:posOffset>3269615</wp:posOffset>
            </wp:positionH>
            <wp:positionV relativeFrom="paragraph">
              <wp:posOffset>10160</wp:posOffset>
            </wp:positionV>
            <wp:extent cx="3041650" cy="2361565"/>
            <wp:effectExtent l="0" t="0" r="6350" b="635"/>
            <wp:wrapSquare wrapText="bothSides"/>
            <wp:docPr id="37768145" name="Picture 1" descr="Satellite imagery showing a polygon boundary around a proposed example PAMF management unit. A scale bar and indication of latitude/longitude are also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ellite imagery showing a polygon boundary around a proposed example PAMF management unit. A scale bar and indication of latitude/longitude are also show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1650" cy="2361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F9209D9" w:rsidR="00881E92">
        <w:rPr>
          <w:color w:val="A02B93" w:themeColor="accent5"/>
        </w:rPr>
        <w:t>Example</w:t>
      </w:r>
      <w:r w:rsidR="00362186">
        <w:rPr>
          <w:color w:val="A02B93" w:themeColor="accent5"/>
        </w:rPr>
        <w:t xml:space="preserve"> map</w:t>
      </w:r>
      <w:r w:rsidR="005217E7">
        <w:rPr>
          <w:color w:val="A02B93" w:themeColor="accent5"/>
        </w:rPr>
        <w:t xml:space="preserve"> </w:t>
      </w:r>
      <w:r>
        <w:rPr>
          <w:color w:val="A02B93" w:themeColor="accent5"/>
        </w:rPr>
        <w:t xml:space="preserve">(right) </w:t>
      </w:r>
      <w:r w:rsidR="005217E7">
        <w:rPr>
          <w:color w:val="A02B93" w:themeColor="accent5"/>
        </w:rPr>
        <w:t>and caption</w:t>
      </w:r>
      <w:r w:rsidRPr="0F9209D9" w:rsidR="00881E92">
        <w:rPr>
          <w:color w:val="A02B93" w:themeColor="accent5"/>
        </w:rPr>
        <w:t>:</w:t>
      </w:r>
    </w:p>
    <w:p w:rsidR="005217E7" w:rsidP="0F9209D9" w:rsidRDefault="005217E7" w14:paraId="25668520" w14:textId="7777777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A02B93" w:themeColor="accent5"/>
        </w:rPr>
      </w:pPr>
    </w:p>
    <w:p w:rsidR="00881E92" w:rsidP="0F9209D9" w:rsidRDefault="00B43AAC" w14:paraId="253BD155" w14:textId="1BD96FB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A02B93" w:themeColor="accent5"/>
        </w:rPr>
      </w:pPr>
      <w:r w:rsidRPr="00116B54">
        <w:rPr>
          <w:b/>
          <w:bCs/>
          <w:color w:val="A02B93" w:themeColor="accent5"/>
        </w:rPr>
        <w:t>Figure X.</w:t>
      </w:r>
      <w:r w:rsidRPr="0F9209D9">
        <w:rPr>
          <w:color w:val="A02B93" w:themeColor="accent5"/>
        </w:rPr>
        <w:t xml:space="preserve"> </w:t>
      </w:r>
      <w:r w:rsidRPr="0F9209D9" w:rsidR="00881E92">
        <w:rPr>
          <w:color w:val="A02B93" w:themeColor="accent5"/>
        </w:rPr>
        <w:t>Management Unit Name, Area: XX hectares</w:t>
      </w:r>
      <w:r w:rsidRPr="0F9209D9" w:rsidR="00CF2423">
        <w:rPr>
          <w:color w:val="A02B93" w:themeColor="accent5"/>
        </w:rPr>
        <w:t>/acres/m</w:t>
      </w:r>
      <w:r w:rsidRPr="0F9209D9" w:rsidR="00CF2423">
        <w:rPr>
          <w:color w:val="A02B93" w:themeColor="accent5"/>
          <w:vertAlign w:val="superscript"/>
        </w:rPr>
        <w:t>2</w:t>
      </w:r>
      <w:r w:rsidRPr="0F9209D9" w:rsidR="00CF2423">
        <w:rPr>
          <w:color w:val="A02B93" w:themeColor="accent5"/>
        </w:rPr>
        <w:t>/etc</w:t>
      </w:r>
      <w:r w:rsidRPr="0F9209D9" w:rsidR="00881E92">
        <w:rPr>
          <w:color w:val="A02B93" w:themeColor="accent5"/>
        </w:rPr>
        <w:t>.</w:t>
      </w:r>
      <w:r w:rsidR="00116B54">
        <w:rPr>
          <w:color w:val="A02B93" w:themeColor="accent5"/>
        </w:rPr>
        <w:t xml:space="preserve"> List of c</w:t>
      </w:r>
      <w:r w:rsidRPr="0F9209D9" w:rsidR="00C64FDB">
        <w:rPr>
          <w:color w:val="A02B93" w:themeColor="accent5"/>
        </w:rPr>
        <w:t>rossroads/</w:t>
      </w:r>
      <w:r w:rsidR="00116B54">
        <w:rPr>
          <w:color w:val="A02B93" w:themeColor="accent5"/>
        </w:rPr>
        <w:t xml:space="preserve"> </w:t>
      </w:r>
      <w:r w:rsidRPr="0F9209D9" w:rsidR="00CF2423">
        <w:rPr>
          <w:color w:val="A02B93" w:themeColor="accent5"/>
        </w:rPr>
        <w:t>nearby cities/</w:t>
      </w:r>
      <w:r w:rsidR="00116B54">
        <w:rPr>
          <w:color w:val="A02B93" w:themeColor="accent5"/>
        </w:rPr>
        <w:t xml:space="preserve"> </w:t>
      </w:r>
      <w:r w:rsidRPr="0F9209D9" w:rsidR="00CF2423">
        <w:rPr>
          <w:color w:val="A02B93" w:themeColor="accent5"/>
        </w:rPr>
        <w:t>center latitude/longitude, etc.</w:t>
      </w:r>
    </w:p>
    <w:p w:rsidR="003E2578" w:rsidP="0F9209D9" w:rsidRDefault="003E2578" w14:paraId="7595845C" w14:textId="7777777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A02B93" w:themeColor="accent5"/>
        </w:rPr>
      </w:pPr>
    </w:p>
    <w:p w:rsidRPr="00660402" w:rsidR="003E2578" w:rsidP="003E2578" w:rsidRDefault="003E2578" w14:paraId="331F6EC6" w14:textId="7777777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A02B93" w:themeColor="accent5"/>
        </w:rPr>
      </w:pPr>
      <w:r w:rsidRPr="0F9209D9">
        <w:rPr>
          <w:b/>
          <w:bCs/>
          <w:color w:val="A02B93" w:themeColor="accent5"/>
        </w:rPr>
        <w:t>Justification for activities outside the Great Lakes basin:</w:t>
      </w:r>
      <w:r w:rsidRPr="0F9209D9">
        <w:rPr>
          <w:color w:val="A02B93" w:themeColor="accent5"/>
        </w:rPr>
        <w:t xml:space="preserve"> Activities outside of the Great Lakes basin can be justified via a justification. Example justification: Lake XYZ in ABC County, which is immediately outside of the Great Lakes basin, has an established population of non-native </w:t>
      </w:r>
      <w:r w:rsidRPr="003E2578">
        <w:rPr>
          <w:i/>
          <w:iCs/>
          <w:color w:val="A02B93" w:themeColor="accent5"/>
        </w:rPr>
        <w:t>Phragmites</w:t>
      </w:r>
      <w:r w:rsidRPr="0F9209D9">
        <w:rPr>
          <w:color w:val="A02B93" w:themeColor="accent5"/>
        </w:rPr>
        <w:t xml:space="preserve"> that is at risk of spreading into the basin proper.</w:t>
      </w:r>
    </w:p>
    <w:p w:rsidRPr="00660402" w:rsidR="00B82686" w:rsidP="009B48FD" w:rsidRDefault="009B48FD" w14:paraId="3FDBB9D1" w14:textId="77777777">
      <w:pPr>
        <w:pStyle w:val="Level1"/>
        <w:numPr>
          <w:ilvl w:val="0"/>
          <w:numId w:val="2"/>
        </w:numPr>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660402">
        <w:rPr>
          <w:u w:val="single"/>
        </w:rPr>
        <w:t>Project Outcomes</w:t>
      </w:r>
      <w:r w:rsidRPr="00660402">
        <w:t xml:space="preserve">: </w:t>
      </w:r>
    </w:p>
    <w:p w:rsidRPr="00660402" w:rsidR="00B82686" w:rsidP="00B82686" w:rsidRDefault="00B82686" w14:paraId="6B4C49E4"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Pr="00660402" w:rsidR="009B48FD" w:rsidP="00B82686" w:rsidRDefault="009B48FD" w14:paraId="325B0306" w14:textId="49466D40">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0660402">
        <w:rPr>
          <w:color w:val="A02B93" w:themeColor="accent5"/>
        </w:rPr>
        <w:t>Describe the outcomes from the proposed project and connection to broader land use</w:t>
      </w:r>
      <w:r w:rsidR="00B91E84">
        <w:rPr>
          <w:color w:val="A02B93" w:themeColor="accent5"/>
        </w:rPr>
        <w:t xml:space="preserve"> </w:t>
      </w:r>
      <w:r w:rsidRPr="00660402">
        <w:rPr>
          <w:color w:val="A02B93" w:themeColor="accent5"/>
        </w:rPr>
        <w:t>/ management</w:t>
      </w:r>
      <w:r w:rsidR="00B91E84">
        <w:rPr>
          <w:color w:val="A02B93" w:themeColor="accent5"/>
        </w:rPr>
        <w:t xml:space="preserve"> </w:t>
      </w:r>
      <w:r w:rsidRPr="00660402">
        <w:rPr>
          <w:color w:val="A02B93" w:themeColor="accent5"/>
        </w:rPr>
        <w:t xml:space="preserve">/ restoration goals. </w:t>
      </w:r>
    </w:p>
    <w:p w:rsidRPr="00660402" w:rsidR="009B48FD" w:rsidP="009B48FD" w:rsidRDefault="009B48FD" w14:paraId="688FCD47"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rsidRPr="00660402">
        <w:t xml:space="preserve"> </w:t>
      </w:r>
    </w:p>
    <w:p w:rsidRPr="00660402" w:rsidR="00B82686" w:rsidP="009B48FD" w:rsidRDefault="009B48FD" w14:paraId="7EB12A73" w14:textId="77777777">
      <w:pPr>
        <w:pStyle w:val="Level1"/>
        <w:numPr>
          <w:ilvl w:val="0"/>
          <w:numId w:val="2"/>
        </w:numPr>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660402">
        <w:rPr>
          <w:u w:val="single"/>
        </w:rPr>
        <w:t>Permits/ Land Use Approval</w:t>
      </w:r>
      <w:r w:rsidRPr="00660402">
        <w:t xml:space="preserve">: </w:t>
      </w:r>
    </w:p>
    <w:p w:rsidRPr="00660402" w:rsidR="00B82686" w:rsidP="00B82686" w:rsidRDefault="00B82686" w14:paraId="0C3A0173"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660402" w:rsidR="009B48FD" w:rsidP="00B82686" w:rsidRDefault="009B48FD" w14:paraId="6FC2FD4C" w14:textId="4B6F441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0660402">
        <w:rPr>
          <w:color w:val="A02B93" w:themeColor="accent5"/>
        </w:rPr>
        <w:t xml:space="preserve">Written documentation of landowner approval and any required land use permits. Any planned management actions that require permits and/or certifications (e.g., herbicide application) should outline the plan for securing the required permits and include </w:t>
      </w:r>
      <w:r w:rsidRPr="00660402" w:rsidR="00643F71">
        <w:rPr>
          <w:color w:val="A02B93" w:themeColor="accent5"/>
        </w:rPr>
        <w:t>proof of necessary certifications</w:t>
      </w:r>
      <w:r w:rsidRPr="00660402">
        <w:rPr>
          <w:color w:val="A02B93" w:themeColor="accent5"/>
        </w:rPr>
        <w:t>. Knowledge and acquisition of required permits is the responsibility of the grantee. Copies of permits and landowner approvals can be added as attachments at the end of the proposal (see Section C. Attachments below).</w:t>
      </w:r>
    </w:p>
    <w:p w:rsidRPr="00660402" w:rsidR="009B48FD" w:rsidP="009B48FD" w:rsidRDefault="009B48FD" w14:paraId="267C4B04" w14:textId="77777777">
      <w:pPr>
        <w:pStyle w:val="ListParagraph"/>
        <w:rPr>
          <w:u w:val="single"/>
        </w:rPr>
      </w:pPr>
    </w:p>
    <w:p w:rsidRPr="00660402" w:rsidR="00B82686" w:rsidP="009B48FD" w:rsidRDefault="009B48FD" w14:paraId="12D79E5B" w14:textId="77777777">
      <w:pPr>
        <w:pStyle w:val="Level1"/>
        <w:numPr>
          <w:ilvl w:val="0"/>
          <w:numId w:val="2"/>
        </w:numPr>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660402">
        <w:rPr>
          <w:u w:val="single"/>
        </w:rPr>
        <w:t>Project Team</w:t>
      </w:r>
      <w:r w:rsidRPr="00660402">
        <w:t xml:space="preserve">: </w:t>
      </w:r>
    </w:p>
    <w:p w:rsidRPr="00660402" w:rsidR="00B82686" w:rsidP="00B82686" w:rsidRDefault="00B82686" w14:paraId="3AD1D526"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Pr="00660402" w:rsidR="009B48FD" w:rsidP="77C1D76C" w:rsidRDefault="798398AD" w14:paraId="09569C6B" w14:textId="50A5081E">
      <w:pPr>
        <w:pStyle w:val="Level1"/>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7F28A140">
        <w:rPr>
          <w:color w:val="A02B93" w:themeColor="accent5"/>
        </w:rPr>
        <w:t>Names of the individuals who will conduct the work, including contractors; their specific responsibilities; and the approximate amount of time they will devote to the project.</w:t>
      </w:r>
      <w:r w:rsidRPr="7F28A140" w:rsidR="7E3E1DBD">
        <w:rPr>
          <w:color w:val="A02B93" w:themeColor="accent5"/>
        </w:rPr>
        <w:t xml:space="preserve"> </w:t>
      </w:r>
      <w:r w:rsidRPr="7F28A140" w:rsidR="1A613646">
        <w:rPr>
          <w:color w:val="A02B93" w:themeColor="accent5"/>
        </w:rPr>
        <w:t xml:space="preserve">For seasonal staff or other staff </w:t>
      </w:r>
      <w:r w:rsidRPr="7F28A140" w:rsidR="5AA0C05E">
        <w:rPr>
          <w:color w:val="A02B93" w:themeColor="accent5"/>
        </w:rPr>
        <w:t xml:space="preserve">who are </w:t>
      </w:r>
      <w:r w:rsidRPr="7F28A140" w:rsidR="1A613646">
        <w:rPr>
          <w:color w:val="A02B93" w:themeColor="accent5"/>
        </w:rPr>
        <w:t>not yet hired</w:t>
      </w:r>
      <w:r w:rsidRPr="7F28A140" w:rsidR="75060983">
        <w:rPr>
          <w:color w:val="A02B93" w:themeColor="accent5"/>
        </w:rPr>
        <w:t xml:space="preserve"> but </w:t>
      </w:r>
      <w:r w:rsidRPr="7F28A140" w:rsidR="6F764EBB">
        <w:rPr>
          <w:color w:val="A02B93" w:themeColor="accent5"/>
        </w:rPr>
        <w:t>will work on this project</w:t>
      </w:r>
      <w:r w:rsidRPr="7F28A140" w:rsidR="1A613646">
        <w:rPr>
          <w:color w:val="A02B93" w:themeColor="accent5"/>
        </w:rPr>
        <w:t xml:space="preserve">, include the staff </w:t>
      </w:r>
      <w:r w:rsidR="000E6E9B">
        <w:rPr>
          <w:color w:val="A02B93" w:themeColor="accent5"/>
        </w:rPr>
        <w:t xml:space="preserve">member’s </w:t>
      </w:r>
      <w:r w:rsidRPr="7F28A140" w:rsidR="1A613646">
        <w:rPr>
          <w:color w:val="A02B93" w:themeColor="accent5"/>
        </w:rPr>
        <w:t>position</w:t>
      </w:r>
      <w:r w:rsidR="000E6E9B">
        <w:rPr>
          <w:color w:val="A02B93" w:themeColor="accent5"/>
        </w:rPr>
        <w:t>/title</w:t>
      </w:r>
      <w:r w:rsidRPr="7F28A140" w:rsidR="26AC5C4B">
        <w:rPr>
          <w:color w:val="A02B93" w:themeColor="accent5"/>
        </w:rPr>
        <w:t>, “TBD”, and a description of responsibilities and hours for the staff member</w:t>
      </w:r>
      <w:r w:rsidRPr="7F28A140" w:rsidR="2E1C7137">
        <w:rPr>
          <w:color w:val="A02B93" w:themeColor="accent5"/>
        </w:rPr>
        <w:t>.</w:t>
      </w:r>
    </w:p>
    <w:p w:rsidRPr="00660402" w:rsidR="000E7F21" w:rsidP="00B82686" w:rsidRDefault="000E7F21" w14:paraId="645FE7C0"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p>
    <w:p w:rsidRPr="00660402" w:rsidR="00FF7049" w:rsidP="0F9209D9" w:rsidRDefault="002139B7" w14:paraId="639658C1" w14:textId="4CA0AC82">
      <w:pPr>
        <w:pStyle w:val="Level1"/>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F9209D9">
        <w:rPr>
          <w:color w:val="A02B93" w:themeColor="accent5"/>
        </w:rPr>
        <w:t>If desired, t</w:t>
      </w:r>
      <w:r w:rsidRPr="0F9209D9" w:rsidR="00FF7049">
        <w:rPr>
          <w:color w:val="A02B93" w:themeColor="accent5"/>
        </w:rPr>
        <w:t>his could be provided as a table, for example:</w:t>
      </w:r>
    </w:p>
    <w:tbl>
      <w:tblPr>
        <w:tblStyle w:val="TableGrid"/>
        <w:tblW w:w="0" w:type="auto"/>
        <w:tblLook w:val="04A0" w:firstRow="1" w:lastRow="0" w:firstColumn="1" w:lastColumn="0" w:noHBand="0" w:noVBand="1"/>
      </w:tblPr>
      <w:tblGrid>
        <w:gridCol w:w="3116"/>
        <w:gridCol w:w="3117"/>
        <w:gridCol w:w="3117"/>
      </w:tblGrid>
      <w:tr w:rsidRPr="00660402" w:rsidR="00FF7049" w:rsidTr="7F28A140" w14:paraId="772F0B7A" w14:textId="77777777">
        <w:tc>
          <w:tcPr>
            <w:tcW w:w="3116" w:type="dxa"/>
          </w:tcPr>
          <w:p w:rsidRPr="00D5475B" w:rsidR="00FF7049" w:rsidP="00B82686" w:rsidRDefault="00BB4329" w14:paraId="332CCE4F" w14:textId="13A78BDD">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bCs/>
              </w:rPr>
            </w:pPr>
            <w:r w:rsidRPr="00D5475B">
              <w:rPr>
                <w:b/>
                <w:bCs/>
              </w:rPr>
              <w:t>Staff member</w:t>
            </w:r>
          </w:p>
        </w:tc>
        <w:tc>
          <w:tcPr>
            <w:tcW w:w="3117" w:type="dxa"/>
          </w:tcPr>
          <w:p w:rsidRPr="00D5475B" w:rsidR="00FF7049" w:rsidP="00B82686" w:rsidRDefault="00BB4329" w14:paraId="58F3706F" w14:textId="1FBEE6C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bCs/>
              </w:rPr>
            </w:pPr>
            <w:r w:rsidRPr="00D5475B">
              <w:rPr>
                <w:b/>
                <w:bCs/>
              </w:rPr>
              <w:t>Responsibilities</w:t>
            </w:r>
          </w:p>
        </w:tc>
        <w:tc>
          <w:tcPr>
            <w:tcW w:w="3117" w:type="dxa"/>
          </w:tcPr>
          <w:p w:rsidRPr="00D5475B" w:rsidR="00FF7049" w:rsidP="00B82686" w:rsidRDefault="00BB4329" w14:paraId="0E2D33F6" w14:textId="20C92182">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bCs/>
              </w:rPr>
            </w:pPr>
            <w:r w:rsidRPr="00D5475B">
              <w:rPr>
                <w:b/>
                <w:bCs/>
              </w:rPr>
              <w:t>Hours devoted to project</w:t>
            </w:r>
          </w:p>
        </w:tc>
      </w:tr>
      <w:tr w:rsidRPr="00660402" w:rsidR="00DD7DDD" w:rsidTr="7F28A140" w14:paraId="2B313AEE" w14:textId="77777777">
        <w:tc>
          <w:tcPr>
            <w:tcW w:w="3116" w:type="dxa"/>
          </w:tcPr>
          <w:p w:rsidRPr="00660402" w:rsidR="00DD7DDD" w:rsidP="00301B3C" w:rsidRDefault="00DD7DDD" w14:paraId="60AD3F7B" w14:textId="48EFFF04">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color w:val="A02B93" w:themeColor="accent5"/>
              </w:rPr>
            </w:pPr>
            <w:r w:rsidRPr="00660402">
              <w:rPr>
                <w:color w:val="A02B93" w:themeColor="accent5"/>
              </w:rPr>
              <w:t>&lt;Staff member name, title&gt;</w:t>
            </w:r>
          </w:p>
        </w:tc>
        <w:tc>
          <w:tcPr>
            <w:tcW w:w="3117" w:type="dxa"/>
          </w:tcPr>
          <w:p w:rsidRPr="00660402" w:rsidR="00DD7DDD" w:rsidP="77C1D76C" w:rsidRDefault="1596F7B5" w14:paraId="71692FCA" w14:textId="5AC2277D">
            <w:pPr>
              <w:pStyle w:val="Level1"/>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color w:val="A02B93" w:themeColor="accent5"/>
              </w:rPr>
            </w:pPr>
            <w:r w:rsidRPr="77C1D76C">
              <w:rPr>
                <w:color w:val="A02B93" w:themeColor="accent5"/>
              </w:rPr>
              <w:t>&lt;</w:t>
            </w:r>
            <w:r w:rsidRPr="77C1D76C" w:rsidR="07ACDDA9">
              <w:rPr>
                <w:color w:val="A02B93" w:themeColor="accent5"/>
              </w:rPr>
              <w:t>List of general responsibilities&gt;</w:t>
            </w:r>
          </w:p>
        </w:tc>
        <w:tc>
          <w:tcPr>
            <w:tcW w:w="3117" w:type="dxa"/>
          </w:tcPr>
          <w:p w:rsidRPr="00660402" w:rsidR="00DD7DDD" w:rsidP="00B82686" w:rsidRDefault="00DD7DDD" w14:paraId="6B5B5DFA" w14:textId="70217F99">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0660402">
              <w:rPr>
                <w:color w:val="A02B93" w:themeColor="accent5"/>
              </w:rPr>
              <w:t>&lt;# hours&gt;</w:t>
            </w:r>
          </w:p>
        </w:tc>
      </w:tr>
      <w:tr w:rsidRPr="00660402" w:rsidR="00FF7049" w:rsidTr="7F28A140" w14:paraId="41A77A19" w14:textId="77777777">
        <w:tc>
          <w:tcPr>
            <w:tcW w:w="3116" w:type="dxa"/>
          </w:tcPr>
          <w:p w:rsidRPr="00660402" w:rsidR="00FF7049" w:rsidP="00301B3C" w:rsidRDefault="00BB4329" w14:paraId="21109D65" w14:textId="7FE27D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color w:val="A02B93" w:themeColor="accent5"/>
              </w:rPr>
            </w:pPr>
            <w:proofErr w:type="spellStart"/>
            <w:r w:rsidRPr="00660402">
              <w:rPr>
                <w:color w:val="A02B93" w:themeColor="accent5"/>
              </w:rPr>
              <w:t>Phraggy</w:t>
            </w:r>
            <w:proofErr w:type="spellEnd"/>
            <w:r w:rsidRPr="00660402">
              <w:rPr>
                <w:color w:val="A02B93" w:themeColor="accent5"/>
              </w:rPr>
              <w:t xml:space="preserve"> Phraggerson</w:t>
            </w:r>
            <w:r w:rsidRPr="00660402" w:rsidR="00B6620A">
              <w:rPr>
                <w:color w:val="A02B93" w:themeColor="accent5"/>
              </w:rPr>
              <w:t xml:space="preserve">, </w:t>
            </w:r>
            <w:r w:rsidRPr="00660402" w:rsidR="00CA46C7">
              <w:rPr>
                <w:color w:val="A02B93" w:themeColor="accent5"/>
              </w:rPr>
              <w:t>CEO</w:t>
            </w:r>
          </w:p>
        </w:tc>
        <w:tc>
          <w:tcPr>
            <w:tcW w:w="3117" w:type="dxa"/>
          </w:tcPr>
          <w:p w:rsidRPr="00660402" w:rsidR="00FF7049" w:rsidP="00301B3C" w:rsidRDefault="000E7F21" w14:paraId="1572F2BA" w14:textId="4FBF156F">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color w:val="A02B93" w:themeColor="accent5"/>
              </w:rPr>
            </w:pPr>
            <w:r w:rsidRPr="00660402">
              <w:rPr>
                <w:color w:val="A02B93" w:themeColor="accent5"/>
              </w:rPr>
              <w:t>Grant administration</w:t>
            </w:r>
          </w:p>
        </w:tc>
        <w:tc>
          <w:tcPr>
            <w:tcW w:w="3117" w:type="dxa"/>
          </w:tcPr>
          <w:p w:rsidRPr="00660402" w:rsidR="00FF7049" w:rsidP="00B82686" w:rsidRDefault="000E7F21" w14:paraId="75D68489" w14:textId="17259F11">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0660402">
              <w:rPr>
                <w:color w:val="A02B93" w:themeColor="accent5"/>
              </w:rPr>
              <w:t>30 hours</w:t>
            </w:r>
          </w:p>
        </w:tc>
      </w:tr>
      <w:tr w:rsidRPr="00660402" w:rsidR="00FF7049" w:rsidTr="7F28A140" w14:paraId="6B10CD10" w14:textId="77777777">
        <w:tc>
          <w:tcPr>
            <w:tcW w:w="3116" w:type="dxa"/>
          </w:tcPr>
          <w:p w:rsidRPr="00660402" w:rsidR="00FF7049" w:rsidP="00301B3C" w:rsidRDefault="00354AF4" w14:paraId="51754C2A" w14:textId="2AB19A11">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color w:val="A02B93" w:themeColor="accent5"/>
              </w:rPr>
            </w:pPr>
            <w:r w:rsidRPr="00660402">
              <w:rPr>
                <w:color w:val="A02B93" w:themeColor="accent5"/>
              </w:rPr>
              <w:t xml:space="preserve">Reed </w:t>
            </w:r>
            <w:proofErr w:type="spellStart"/>
            <w:r w:rsidRPr="00660402" w:rsidR="00FC3DA0">
              <w:rPr>
                <w:color w:val="A02B93" w:themeColor="accent5"/>
              </w:rPr>
              <w:t>O’Plenty</w:t>
            </w:r>
            <w:proofErr w:type="spellEnd"/>
            <w:r w:rsidRPr="00660402" w:rsidR="00F030BB">
              <w:rPr>
                <w:color w:val="A02B93" w:themeColor="accent5"/>
              </w:rPr>
              <w:t xml:space="preserve"> – Contractor</w:t>
            </w:r>
            <w:r w:rsidRPr="00660402" w:rsidR="006616D2">
              <w:rPr>
                <w:color w:val="A02B93" w:themeColor="accent5"/>
              </w:rPr>
              <w:t xml:space="preserve">, </w:t>
            </w:r>
            <w:r w:rsidRPr="00660402" w:rsidR="00F030BB">
              <w:rPr>
                <w:color w:val="A02B93" w:themeColor="accent5"/>
              </w:rPr>
              <w:t>“Reed’s Contracting Co.”</w:t>
            </w:r>
          </w:p>
        </w:tc>
        <w:tc>
          <w:tcPr>
            <w:tcW w:w="3117" w:type="dxa"/>
          </w:tcPr>
          <w:p w:rsidRPr="00660402" w:rsidR="00FF7049" w:rsidP="00301B3C" w:rsidRDefault="00C7767A" w14:paraId="1BF7BC9B" w14:textId="25A76880">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color w:val="A02B93" w:themeColor="accent5"/>
              </w:rPr>
            </w:pPr>
            <w:r w:rsidRPr="00660402">
              <w:rPr>
                <w:color w:val="A02B93" w:themeColor="accent5"/>
              </w:rPr>
              <w:t xml:space="preserve">Monitoring, sample collection, </w:t>
            </w:r>
            <w:r w:rsidRPr="00660402" w:rsidR="002139B7">
              <w:rPr>
                <w:color w:val="A02B93" w:themeColor="accent5"/>
              </w:rPr>
              <w:t xml:space="preserve">spading </w:t>
            </w:r>
            <w:r w:rsidRPr="00660402" w:rsidR="002139B7">
              <w:rPr>
                <w:i/>
                <w:iCs/>
                <w:color w:val="A02B93" w:themeColor="accent5"/>
              </w:rPr>
              <w:t>Phragmites</w:t>
            </w:r>
          </w:p>
        </w:tc>
        <w:tc>
          <w:tcPr>
            <w:tcW w:w="3117" w:type="dxa"/>
          </w:tcPr>
          <w:p w:rsidRPr="00660402" w:rsidR="00FF7049" w:rsidP="00B82686" w:rsidRDefault="00C7767A" w14:paraId="0A0B3584" w14:textId="705A493B">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0660402">
              <w:rPr>
                <w:color w:val="A02B93" w:themeColor="accent5"/>
              </w:rPr>
              <w:t>100 hours</w:t>
            </w:r>
          </w:p>
        </w:tc>
      </w:tr>
      <w:tr w:rsidR="77C1D76C" w:rsidTr="7F28A140" w14:paraId="55B6355B" w14:textId="77777777">
        <w:trPr>
          <w:trHeight w:val="300"/>
        </w:trPr>
        <w:tc>
          <w:tcPr>
            <w:tcW w:w="3116" w:type="dxa"/>
          </w:tcPr>
          <w:p w:rsidR="39F750B6" w:rsidP="00D5475B" w:rsidRDefault="121BB35C" w14:paraId="2600CB7C" w14:textId="0E01ED68">
            <w:pPr>
              <w:pStyle w:val="Level1"/>
              <w:ind w:left="0"/>
              <w:jc w:val="left"/>
              <w:rPr>
                <w:color w:val="A02B93" w:themeColor="accent5"/>
              </w:rPr>
            </w:pPr>
            <w:r w:rsidRPr="7F28A140">
              <w:rPr>
                <w:color w:val="A02B93" w:themeColor="accent5"/>
              </w:rPr>
              <w:t>Seasonal Staff #1, TBD</w:t>
            </w:r>
          </w:p>
        </w:tc>
        <w:tc>
          <w:tcPr>
            <w:tcW w:w="3117" w:type="dxa"/>
          </w:tcPr>
          <w:p w:rsidR="697AF621" w:rsidP="00D5475B" w:rsidRDefault="4167998E" w14:paraId="53EDA705" w14:textId="20A61D76">
            <w:pPr>
              <w:pStyle w:val="Level1"/>
              <w:ind w:left="0"/>
              <w:jc w:val="left"/>
              <w:rPr>
                <w:color w:val="A02B93" w:themeColor="accent5"/>
              </w:rPr>
            </w:pPr>
            <w:r w:rsidRPr="7F28A140">
              <w:rPr>
                <w:color w:val="A02B93" w:themeColor="accent5"/>
              </w:rPr>
              <w:t>Monitoring, outreach to public</w:t>
            </w:r>
          </w:p>
        </w:tc>
        <w:tc>
          <w:tcPr>
            <w:tcW w:w="3117" w:type="dxa"/>
          </w:tcPr>
          <w:p w:rsidR="697AF621" w:rsidP="00D5475B" w:rsidRDefault="4167998E" w14:paraId="7516926E" w14:textId="057EA2D8">
            <w:pPr>
              <w:pStyle w:val="Level1"/>
              <w:ind w:left="0"/>
              <w:rPr>
                <w:color w:val="A02B93" w:themeColor="accent5"/>
              </w:rPr>
            </w:pPr>
            <w:r w:rsidRPr="7F28A140">
              <w:rPr>
                <w:color w:val="A02B93" w:themeColor="accent5"/>
              </w:rPr>
              <w:t>20 hours</w:t>
            </w:r>
          </w:p>
        </w:tc>
      </w:tr>
    </w:tbl>
    <w:p w:rsidRPr="00660402" w:rsidR="00FF7049" w:rsidP="0F9209D9" w:rsidRDefault="00FF7049" w14:paraId="48E26A5D" w14:textId="77777777">
      <w:pPr>
        <w:pStyle w:val="Level1"/>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p>
    <w:p w:rsidRPr="00660402" w:rsidR="009B48FD" w:rsidP="009B48FD" w:rsidRDefault="009B48FD" w14:paraId="5ABB5EAE" w14:textId="77777777">
      <w:pPr>
        <w:pStyle w:val="ListParagraph"/>
        <w:rPr>
          <w:u w:val="single"/>
        </w:rPr>
      </w:pPr>
    </w:p>
    <w:p w:rsidRPr="00660402" w:rsidR="00825776" w:rsidP="009B48FD" w:rsidRDefault="009B48FD" w14:paraId="29C708D9" w14:textId="77777777">
      <w:pPr>
        <w:pStyle w:val="Level1"/>
        <w:numPr>
          <w:ilvl w:val="0"/>
          <w:numId w:val="2"/>
        </w:numPr>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660402">
        <w:rPr>
          <w:u w:val="single"/>
        </w:rPr>
        <w:lastRenderedPageBreak/>
        <w:t>Project Schedule</w:t>
      </w:r>
      <w:r w:rsidRPr="00660402">
        <w:t>:</w:t>
      </w:r>
    </w:p>
    <w:p w:rsidRPr="00660402" w:rsidR="009B48FD" w:rsidP="00825776" w:rsidRDefault="009B48FD" w14:paraId="612C20AF" w14:textId="013B9A63">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0660402">
        <w:rPr>
          <w:color w:val="A02B93" w:themeColor="accent5"/>
        </w:rPr>
        <w:t>Indicate the work plan tasks in a timeline format for the project period of July 1, 202</w:t>
      </w:r>
      <w:r w:rsidR="0012342C">
        <w:rPr>
          <w:color w:val="A02B93" w:themeColor="accent5"/>
        </w:rPr>
        <w:t>6</w:t>
      </w:r>
      <w:r w:rsidRPr="00660402">
        <w:rPr>
          <w:color w:val="A02B93" w:themeColor="accent5"/>
        </w:rPr>
        <w:t xml:space="preserve"> – July 31, 202</w:t>
      </w:r>
      <w:r w:rsidR="0012342C">
        <w:rPr>
          <w:color w:val="A02B93" w:themeColor="accent5"/>
        </w:rPr>
        <w:t>7</w:t>
      </w:r>
      <w:r w:rsidR="00F178CE">
        <w:rPr>
          <w:color w:val="A02B93" w:themeColor="accent5"/>
        </w:rPr>
        <w:t xml:space="preserve"> and any prior required activities</w:t>
      </w:r>
      <w:r w:rsidRPr="00660402">
        <w:rPr>
          <w:color w:val="A02B93" w:themeColor="accent5"/>
        </w:rPr>
        <w:t>. Schedule should include time for collection of leaf samples for genetic testing, training, monitoring (July 202</w:t>
      </w:r>
      <w:r w:rsidR="0012342C">
        <w:rPr>
          <w:color w:val="A02B93" w:themeColor="accent5"/>
        </w:rPr>
        <w:t>6</w:t>
      </w:r>
      <w:r w:rsidRPr="00660402">
        <w:rPr>
          <w:color w:val="A02B93" w:themeColor="accent5"/>
        </w:rPr>
        <w:t xml:space="preserve"> and July 202</w:t>
      </w:r>
      <w:r w:rsidR="0012342C">
        <w:rPr>
          <w:color w:val="A02B93" w:themeColor="accent5"/>
        </w:rPr>
        <w:t>7</w:t>
      </w:r>
      <w:r w:rsidRPr="00660402">
        <w:rPr>
          <w:color w:val="A02B93" w:themeColor="accent5"/>
        </w:rPr>
        <w:t xml:space="preserve">), and management actions that will occur during the Translocating Phase (August – October), Dormant Phase (November – March), and Growing Phase (April – June). </w:t>
      </w:r>
    </w:p>
    <w:p w:rsidRPr="00660402" w:rsidR="00FE2449" w:rsidP="00825776" w:rsidRDefault="00FE2449" w14:paraId="60A3D8F7"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p>
    <w:p w:rsidRPr="00660402" w:rsidR="00FE2449" w:rsidP="0F9209D9" w:rsidRDefault="00FE2449" w14:paraId="72091554" w14:textId="38D5B9B0">
      <w:pPr>
        <w:pStyle w:val="Level1"/>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F9209D9">
        <w:rPr>
          <w:color w:val="A02B93" w:themeColor="accent5"/>
        </w:rPr>
        <w:t xml:space="preserve">When preparing your project schedule, consider the following </w:t>
      </w:r>
      <w:r w:rsidRPr="0F9209D9" w:rsidR="00BB1257">
        <w:rPr>
          <w:color w:val="A02B93" w:themeColor="accent5"/>
        </w:rPr>
        <w:t xml:space="preserve">dates and </w:t>
      </w:r>
      <w:r w:rsidRPr="0F9209D9">
        <w:rPr>
          <w:color w:val="A02B93" w:themeColor="accent5"/>
        </w:rPr>
        <w:t>deadlines</w:t>
      </w:r>
      <w:r w:rsidRPr="0F9209D9" w:rsidR="00C60939">
        <w:rPr>
          <w:color w:val="A02B93" w:themeColor="accent5"/>
        </w:rPr>
        <w:t xml:space="preserve"> (you are not required to list each </w:t>
      </w:r>
      <w:r w:rsidRPr="0F9209D9" w:rsidR="00F06B8A">
        <w:rPr>
          <w:color w:val="A02B93" w:themeColor="accent5"/>
        </w:rPr>
        <w:t>date</w:t>
      </w:r>
      <w:r w:rsidRPr="0F9209D9" w:rsidR="00C60939">
        <w:rPr>
          <w:color w:val="A02B93" w:themeColor="accent5"/>
        </w:rPr>
        <w:t>, but use these as a reference for timing of your activities)</w:t>
      </w:r>
      <w:r w:rsidRPr="0F9209D9">
        <w:rPr>
          <w:color w:val="A02B93" w:themeColor="accent5"/>
        </w:rPr>
        <w:t>:</w:t>
      </w:r>
    </w:p>
    <w:p w:rsidRPr="00660402" w:rsidR="00F92DE0" w:rsidP="050E7891" w:rsidRDefault="5DFC04E5" w14:paraId="71555628" w14:textId="6157974B">
      <w:pPr>
        <w:pStyle w:val="Level1"/>
        <w:numPr>
          <w:ilvl w:val="0"/>
          <w:numId w:val="7"/>
        </w:num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olor w:val="A02B93" w:themeColor="accent5"/>
        </w:rPr>
      </w:pPr>
      <w:r w:rsidRPr="050E7891">
        <w:rPr>
          <w:b/>
          <w:bCs/>
          <w:color w:val="A02B93" w:themeColor="accent5"/>
        </w:rPr>
        <w:t>June 15</w:t>
      </w:r>
      <w:r w:rsidRPr="050E7891" w:rsidR="00E178D0">
        <w:rPr>
          <w:b/>
          <w:bCs/>
          <w:color w:val="A02B93" w:themeColor="accent5"/>
        </w:rPr>
        <w:t>:</w:t>
      </w:r>
      <w:r w:rsidRPr="050E7891" w:rsidR="00E178D0">
        <w:rPr>
          <w:color w:val="A02B93" w:themeColor="accent5"/>
        </w:rPr>
        <w:t xml:space="preserve"> </w:t>
      </w:r>
      <w:r w:rsidRPr="050E7891" w:rsidR="003F1405">
        <w:rPr>
          <w:color w:val="9F2B92"/>
        </w:rPr>
        <w:t xml:space="preserve">Collect </w:t>
      </w:r>
      <w:r w:rsidRPr="050E7891" w:rsidR="00BB1257">
        <w:rPr>
          <w:color w:val="9F2B92"/>
        </w:rPr>
        <w:t xml:space="preserve">and submit </w:t>
      </w:r>
      <w:r w:rsidRPr="050E7891" w:rsidR="003F1405">
        <w:rPr>
          <w:color w:val="9F2B92"/>
        </w:rPr>
        <w:t>leaf samples for genetic testing</w:t>
      </w:r>
      <w:r w:rsidRPr="050E7891" w:rsidR="005D11C3">
        <w:rPr>
          <w:color w:val="9F2B92"/>
        </w:rPr>
        <w:t>.</w:t>
      </w:r>
    </w:p>
    <w:p w:rsidRPr="00660402" w:rsidR="00F92DE0" w:rsidP="050E7891" w:rsidRDefault="00FE2449" w14:paraId="3FEB0841" w14:textId="49ECAD82">
      <w:pPr>
        <w:pStyle w:val="Level1"/>
        <w:numPr>
          <w:ilvl w:val="0"/>
          <w:numId w:val="7"/>
        </w:num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olor w:val="A02B93" w:themeColor="accent5"/>
        </w:rPr>
      </w:pPr>
      <w:r w:rsidRPr="050E7891">
        <w:rPr>
          <w:rFonts w:eastAsia="Arial"/>
          <w:b/>
          <w:bCs/>
          <w:color w:val="A02B93" w:themeColor="accent5"/>
        </w:rPr>
        <w:t>Prior to monitoring in July:</w:t>
      </w:r>
      <w:r w:rsidRPr="050E7891">
        <w:rPr>
          <w:rFonts w:eastAsia="Arial"/>
          <w:color w:val="A02B93" w:themeColor="accent5"/>
        </w:rPr>
        <w:t xml:space="preserve"> Enroll management unit</w:t>
      </w:r>
      <w:r w:rsidRPr="050E7891" w:rsidR="00EE6B25">
        <w:rPr>
          <w:rFonts w:eastAsia="Arial"/>
          <w:color w:val="A02B93" w:themeColor="accent5"/>
        </w:rPr>
        <w:t xml:space="preserve"> </w:t>
      </w:r>
      <w:r w:rsidRPr="050E7891">
        <w:rPr>
          <w:rFonts w:eastAsia="Arial"/>
          <w:color w:val="A02B93" w:themeColor="accent5"/>
        </w:rPr>
        <w:t>(s</w:t>
      </w:r>
      <w:r w:rsidRPr="050E7891" w:rsidR="00EE65AD">
        <w:rPr>
          <w:rFonts w:eastAsia="Arial"/>
          <w:color w:val="A02B93" w:themeColor="accent5"/>
        </w:rPr>
        <w:t>; “MU”</w:t>
      </w:r>
      <w:r w:rsidRPr="050E7891">
        <w:rPr>
          <w:rFonts w:eastAsia="Arial"/>
          <w:color w:val="A02B93" w:themeColor="accent5"/>
        </w:rPr>
        <w:t>) in the PAMF</w:t>
      </w:r>
      <w:r w:rsidRPr="050E7891" w:rsidR="007C43C2">
        <w:rPr>
          <w:rFonts w:eastAsia="Arial"/>
          <w:color w:val="A02B93" w:themeColor="accent5"/>
        </w:rPr>
        <w:t xml:space="preserve"> online</w:t>
      </w:r>
      <w:r w:rsidRPr="050E7891">
        <w:rPr>
          <w:rFonts w:eastAsia="Arial"/>
          <w:color w:val="A02B93" w:themeColor="accent5"/>
        </w:rPr>
        <w:t xml:space="preserve"> Web Hub and complete the AAMP Participant Training Moodle course (bit.ly/AAMP-Training) </w:t>
      </w:r>
      <w:r w:rsidRPr="050E7891">
        <w:rPr>
          <w:rFonts w:eastAsia="Arial"/>
          <w:b/>
          <w:bCs/>
          <w:color w:val="A02B93" w:themeColor="accent5"/>
        </w:rPr>
        <w:t>before you monitor</w:t>
      </w:r>
      <w:r w:rsidRPr="050E7891">
        <w:rPr>
          <w:rFonts w:eastAsia="Arial"/>
          <w:color w:val="A02B93" w:themeColor="accent5"/>
        </w:rPr>
        <w:t xml:space="preserve">! </w:t>
      </w:r>
    </w:p>
    <w:p w:rsidRPr="00660402" w:rsidR="00FE2449" w:rsidP="00FE2449" w:rsidRDefault="00F92DE0" w14:paraId="3857A681" w14:textId="6871158B">
      <w:pPr>
        <w:pStyle w:val="ListParagraph"/>
        <w:numPr>
          <w:ilvl w:val="0"/>
          <w:numId w:val="7"/>
        </w:numPr>
        <w:rPr>
          <w:rFonts w:eastAsia="Arial"/>
          <w:color w:val="A02B93" w:themeColor="accent5"/>
        </w:rPr>
      </w:pPr>
      <w:r w:rsidRPr="00660402">
        <w:rPr>
          <w:rFonts w:eastAsia="Arial"/>
          <w:b/>
          <w:bCs/>
          <w:color w:val="A02B93" w:themeColor="accent5"/>
        </w:rPr>
        <w:t>July 1–31, 202</w:t>
      </w:r>
      <w:r w:rsidR="0012342C">
        <w:rPr>
          <w:rFonts w:eastAsia="Arial"/>
          <w:b/>
          <w:bCs/>
          <w:color w:val="A02B93" w:themeColor="accent5"/>
        </w:rPr>
        <w:t>6</w:t>
      </w:r>
      <w:r w:rsidRPr="00660402">
        <w:rPr>
          <w:rFonts w:eastAsia="Arial"/>
          <w:color w:val="A02B93" w:themeColor="accent5"/>
        </w:rPr>
        <w:t xml:space="preserve"> – </w:t>
      </w:r>
      <w:r w:rsidRPr="00660402" w:rsidR="00761EDD">
        <w:rPr>
          <w:rFonts w:eastAsia="Arial"/>
          <w:color w:val="A02B93" w:themeColor="accent5"/>
        </w:rPr>
        <w:t>Time to conduct monitoring of each enrolled MU</w:t>
      </w:r>
      <w:r w:rsidRPr="00660402">
        <w:rPr>
          <w:rFonts w:eastAsia="Arial"/>
          <w:color w:val="A02B93" w:themeColor="accent5"/>
        </w:rPr>
        <w:t xml:space="preserve">. </w:t>
      </w:r>
    </w:p>
    <w:p w:rsidRPr="00660402" w:rsidR="00B74E6C" w:rsidP="00FE2449" w:rsidRDefault="00FE2449" w14:paraId="462005D0" w14:textId="1F269FE6">
      <w:pPr>
        <w:pStyle w:val="ListParagraph"/>
        <w:numPr>
          <w:ilvl w:val="0"/>
          <w:numId w:val="7"/>
        </w:numPr>
        <w:rPr>
          <w:rFonts w:eastAsia="Arial"/>
          <w:color w:val="A02B93" w:themeColor="accent5"/>
        </w:rPr>
      </w:pPr>
      <w:r w:rsidRPr="00660402">
        <w:rPr>
          <w:rFonts w:eastAsia="Arial"/>
          <w:b/>
          <w:bCs/>
          <w:color w:val="A02B93" w:themeColor="accent5"/>
        </w:rPr>
        <w:t>July 31, 202</w:t>
      </w:r>
      <w:r w:rsidR="0012342C">
        <w:rPr>
          <w:rFonts w:eastAsia="Arial"/>
          <w:b/>
          <w:bCs/>
          <w:color w:val="A02B93" w:themeColor="accent5"/>
        </w:rPr>
        <w:t>6</w:t>
      </w:r>
      <w:r w:rsidRPr="00660402">
        <w:rPr>
          <w:rFonts w:eastAsia="Arial"/>
          <w:color w:val="A02B93" w:themeColor="accent5"/>
        </w:rPr>
        <w:t xml:space="preserve"> – Monitoring report </w:t>
      </w:r>
      <w:r w:rsidRPr="00660402" w:rsidR="00EE65AD">
        <w:rPr>
          <w:rFonts w:eastAsia="Arial"/>
          <w:color w:val="A02B93" w:themeColor="accent5"/>
        </w:rPr>
        <w:t>#</w:t>
      </w:r>
      <w:r w:rsidRPr="00660402">
        <w:rPr>
          <w:rFonts w:eastAsia="Arial"/>
          <w:color w:val="A02B93" w:themeColor="accent5"/>
        </w:rPr>
        <w:t xml:space="preserve">1 due for </w:t>
      </w:r>
      <w:r w:rsidRPr="00660402" w:rsidR="00F54CDB">
        <w:rPr>
          <w:rFonts w:eastAsia="Arial"/>
          <w:color w:val="A02B93" w:themeColor="accent5"/>
        </w:rPr>
        <w:t>each</w:t>
      </w:r>
      <w:r w:rsidRPr="00660402">
        <w:rPr>
          <w:rFonts w:eastAsia="Arial"/>
          <w:color w:val="A02B93" w:themeColor="accent5"/>
        </w:rPr>
        <w:t xml:space="preserve"> enrolled MU.</w:t>
      </w:r>
    </w:p>
    <w:p w:rsidRPr="00660402" w:rsidR="00FE2449" w:rsidP="003F1405" w:rsidRDefault="00AF1B37" w14:paraId="09313563" w14:textId="172B64DB">
      <w:pPr>
        <w:pStyle w:val="ListParagraph"/>
        <w:numPr>
          <w:ilvl w:val="0"/>
          <w:numId w:val="7"/>
        </w:numPr>
        <w:rPr>
          <w:rFonts w:eastAsia="Arial"/>
          <w:color w:val="A02B93" w:themeColor="accent5"/>
        </w:rPr>
      </w:pPr>
      <w:r w:rsidRPr="00660402">
        <w:rPr>
          <w:rFonts w:eastAsia="Arial"/>
          <w:b/>
          <w:bCs/>
          <w:color w:val="A02B93" w:themeColor="accent5"/>
        </w:rPr>
        <w:t>Post-monitoring to October 31, 202</w:t>
      </w:r>
      <w:r w:rsidR="0012342C">
        <w:rPr>
          <w:rFonts w:eastAsia="Arial"/>
          <w:b/>
          <w:bCs/>
          <w:color w:val="A02B93" w:themeColor="accent5"/>
        </w:rPr>
        <w:t>6</w:t>
      </w:r>
      <w:r w:rsidRPr="00660402">
        <w:rPr>
          <w:rFonts w:eastAsia="Arial"/>
          <w:b/>
          <w:bCs/>
          <w:color w:val="A02B93" w:themeColor="accent5"/>
        </w:rPr>
        <w:t xml:space="preserve"> </w:t>
      </w:r>
      <w:r w:rsidRPr="00660402" w:rsidR="00EE1D52">
        <w:rPr>
          <w:rFonts w:eastAsia="Arial"/>
          <w:b/>
          <w:bCs/>
          <w:color w:val="A02B93" w:themeColor="accent5"/>
        </w:rPr>
        <w:t>–</w:t>
      </w:r>
      <w:r w:rsidRPr="00660402" w:rsidR="00EE1D52">
        <w:rPr>
          <w:rFonts w:eastAsia="Arial"/>
          <w:color w:val="A02B93" w:themeColor="accent5"/>
        </w:rPr>
        <w:t xml:space="preserve"> Translocating phase when one management action type should be performed per </w:t>
      </w:r>
      <w:r w:rsidRPr="00660402" w:rsidR="00EE65AD">
        <w:rPr>
          <w:rFonts w:eastAsia="Arial"/>
          <w:color w:val="A02B93" w:themeColor="accent5"/>
        </w:rPr>
        <w:t>MU</w:t>
      </w:r>
      <w:r w:rsidRPr="00660402" w:rsidR="00EE1D52">
        <w:rPr>
          <w:rFonts w:eastAsia="Arial"/>
          <w:color w:val="A02B93" w:themeColor="accent5"/>
        </w:rPr>
        <w:t>.</w:t>
      </w:r>
    </w:p>
    <w:p w:rsidRPr="00660402" w:rsidR="00FE2449" w:rsidP="003F1405" w:rsidRDefault="00FE2449" w14:paraId="1EDF5DC1" w14:textId="11E4C3D3">
      <w:pPr>
        <w:pStyle w:val="ListParagraph"/>
        <w:numPr>
          <w:ilvl w:val="0"/>
          <w:numId w:val="7"/>
        </w:numPr>
        <w:rPr>
          <w:rFonts w:eastAsia="Arial"/>
          <w:color w:val="A02B93" w:themeColor="accent5"/>
        </w:rPr>
      </w:pPr>
      <w:r w:rsidRPr="00660402">
        <w:rPr>
          <w:rFonts w:eastAsia="Arial"/>
          <w:b/>
          <w:bCs/>
          <w:color w:val="A02B93" w:themeColor="accent5"/>
        </w:rPr>
        <w:t>November 1, 202</w:t>
      </w:r>
      <w:r w:rsidR="0012342C">
        <w:rPr>
          <w:rFonts w:eastAsia="Arial"/>
          <w:b/>
          <w:bCs/>
          <w:color w:val="A02B93" w:themeColor="accent5"/>
        </w:rPr>
        <w:t>6</w:t>
      </w:r>
      <w:r w:rsidRPr="00660402">
        <w:rPr>
          <w:rFonts w:eastAsia="Arial"/>
          <w:color w:val="A02B93" w:themeColor="accent5"/>
        </w:rPr>
        <w:t xml:space="preserve"> – Translocating </w:t>
      </w:r>
      <w:r w:rsidRPr="00660402" w:rsidR="000E2F38">
        <w:rPr>
          <w:rFonts w:eastAsia="Arial"/>
          <w:color w:val="A02B93" w:themeColor="accent5"/>
        </w:rPr>
        <w:t xml:space="preserve">phase </w:t>
      </w:r>
      <w:r w:rsidRPr="00660402">
        <w:rPr>
          <w:rFonts w:eastAsia="Arial"/>
          <w:color w:val="A02B93" w:themeColor="accent5"/>
        </w:rPr>
        <w:t xml:space="preserve">management report due for </w:t>
      </w:r>
      <w:r w:rsidRPr="00660402" w:rsidR="00F54CDB">
        <w:rPr>
          <w:rFonts w:eastAsia="Arial"/>
          <w:color w:val="A02B93" w:themeColor="accent5"/>
        </w:rPr>
        <w:t>each</w:t>
      </w:r>
      <w:r w:rsidRPr="00660402">
        <w:rPr>
          <w:rFonts w:eastAsia="Arial"/>
          <w:color w:val="A02B93" w:themeColor="accent5"/>
        </w:rPr>
        <w:t xml:space="preserve"> enrolled MU. </w:t>
      </w:r>
      <w:r w:rsidRPr="00660402">
        <w:rPr>
          <w:rFonts w:eastAsia="Arial"/>
          <w:i/>
          <w:iCs/>
          <w:color w:val="A02B93" w:themeColor="accent5"/>
        </w:rPr>
        <w:t xml:space="preserve">Note that management actions must occur </w:t>
      </w:r>
      <w:r w:rsidRPr="00660402">
        <w:rPr>
          <w:rFonts w:eastAsia="Arial"/>
          <w:b/>
          <w:bCs/>
          <w:i/>
          <w:iCs/>
          <w:color w:val="A02B93" w:themeColor="accent5"/>
        </w:rPr>
        <w:t>after</w:t>
      </w:r>
      <w:r w:rsidRPr="00660402">
        <w:rPr>
          <w:rFonts w:eastAsia="Arial"/>
          <w:i/>
          <w:iCs/>
          <w:color w:val="A02B93" w:themeColor="accent5"/>
        </w:rPr>
        <w:t xml:space="preserve"> monitoring.</w:t>
      </w:r>
      <w:r w:rsidRPr="00660402">
        <w:rPr>
          <w:rFonts w:eastAsia="Arial"/>
          <w:color w:val="A02B93" w:themeColor="accent5"/>
        </w:rPr>
        <w:t xml:space="preserve"> </w:t>
      </w:r>
    </w:p>
    <w:p w:rsidRPr="00660402" w:rsidR="0070126E" w:rsidP="0083624F" w:rsidRDefault="0070126E" w14:paraId="2B35AFA2" w14:textId="25D1A738">
      <w:pPr>
        <w:pStyle w:val="ListParagraph"/>
        <w:numPr>
          <w:ilvl w:val="0"/>
          <w:numId w:val="7"/>
        </w:numPr>
        <w:rPr>
          <w:rFonts w:eastAsia="Arial"/>
          <w:color w:val="A02B93" w:themeColor="accent5"/>
        </w:rPr>
      </w:pPr>
      <w:r w:rsidRPr="00660402">
        <w:rPr>
          <w:rFonts w:eastAsia="Arial"/>
          <w:b/>
          <w:bCs/>
          <w:color w:val="A02B93" w:themeColor="accent5"/>
        </w:rPr>
        <w:t>November 1, 202</w:t>
      </w:r>
      <w:r w:rsidR="0012342C">
        <w:rPr>
          <w:rFonts w:eastAsia="Arial"/>
          <w:b/>
          <w:bCs/>
          <w:color w:val="A02B93" w:themeColor="accent5"/>
        </w:rPr>
        <w:t>6</w:t>
      </w:r>
      <w:r w:rsidRPr="00660402">
        <w:rPr>
          <w:rFonts w:eastAsia="Arial"/>
          <w:b/>
          <w:bCs/>
          <w:color w:val="A02B93" w:themeColor="accent5"/>
        </w:rPr>
        <w:t xml:space="preserve"> to </w:t>
      </w:r>
      <w:r w:rsidRPr="00660402" w:rsidR="0083624F">
        <w:rPr>
          <w:rFonts w:eastAsia="Arial"/>
          <w:b/>
          <w:bCs/>
          <w:color w:val="A02B93" w:themeColor="accent5"/>
        </w:rPr>
        <w:t xml:space="preserve">March </w:t>
      </w:r>
      <w:r w:rsidRPr="00660402">
        <w:rPr>
          <w:rFonts w:eastAsia="Arial"/>
          <w:b/>
          <w:bCs/>
          <w:color w:val="A02B93" w:themeColor="accent5"/>
        </w:rPr>
        <w:t>31, 202</w:t>
      </w:r>
      <w:r w:rsidR="0012342C">
        <w:rPr>
          <w:rFonts w:eastAsia="Arial"/>
          <w:b/>
          <w:bCs/>
          <w:color w:val="A02B93" w:themeColor="accent5"/>
        </w:rPr>
        <w:t>7</w:t>
      </w:r>
      <w:r w:rsidRPr="00660402">
        <w:rPr>
          <w:rFonts w:eastAsia="Arial"/>
          <w:b/>
          <w:bCs/>
          <w:color w:val="A02B93" w:themeColor="accent5"/>
        </w:rPr>
        <w:t xml:space="preserve"> –</w:t>
      </w:r>
      <w:r w:rsidRPr="00660402">
        <w:rPr>
          <w:rFonts w:eastAsia="Arial"/>
          <w:color w:val="A02B93" w:themeColor="accent5"/>
        </w:rPr>
        <w:t xml:space="preserve"> </w:t>
      </w:r>
      <w:r w:rsidRPr="00660402" w:rsidR="0083624F">
        <w:rPr>
          <w:rFonts w:eastAsia="Arial"/>
          <w:color w:val="A02B93" w:themeColor="accent5"/>
        </w:rPr>
        <w:t>Dormant</w:t>
      </w:r>
      <w:r w:rsidRPr="00660402">
        <w:rPr>
          <w:rFonts w:eastAsia="Arial"/>
          <w:color w:val="A02B93" w:themeColor="accent5"/>
        </w:rPr>
        <w:t xml:space="preserve"> phase when one management action type should be performed per MU.</w:t>
      </w:r>
    </w:p>
    <w:p w:rsidRPr="00660402" w:rsidR="00FE2449" w:rsidP="003F1405" w:rsidRDefault="472BDF81" w14:paraId="316BFD6E" w14:textId="272447D5">
      <w:pPr>
        <w:pStyle w:val="ListParagraph"/>
        <w:numPr>
          <w:ilvl w:val="0"/>
          <w:numId w:val="7"/>
        </w:numPr>
        <w:rPr>
          <w:rFonts w:eastAsia="Arial"/>
          <w:color w:val="A02B93" w:themeColor="accent5"/>
        </w:rPr>
      </w:pPr>
      <w:r w:rsidRPr="678AE29B" w:rsidR="57445761">
        <w:rPr>
          <w:rFonts w:eastAsia="Arial"/>
          <w:b w:val="1"/>
          <w:bCs w:val="1"/>
          <w:color w:val="A02B93" w:themeColor="accent5" w:themeTint="FF" w:themeShade="FF"/>
        </w:rPr>
        <w:t>February 15, 202</w:t>
      </w:r>
      <w:r w:rsidRPr="678AE29B" w:rsidR="0012342C">
        <w:rPr>
          <w:rFonts w:eastAsia="Arial"/>
          <w:b w:val="1"/>
          <w:bCs w:val="1"/>
          <w:color w:val="A02B93" w:themeColor="accent5" w:themeTint="FF" w:themeShade="FF"/>
        </w:rPr>
        <w:t>7</w:t>
      </w:r>
      <w:r w:rsidRPr="678AE29B" w:rsidR="57445761">
        <w:rPr>
          <w:rFonts w:eastAsia="Arial"/>
          <w:b w:val="1"/>
          <w:bCs w:val="1"/>
          <w:color w:val="A02B93" w:themeColor="accent5" w:themeTint="FF" w:themeShade="FF"/>
        </w:rPr>
        <w:t xml:space="preserve"> –</w:t>
      </w:r>
      <w:r w:rsidRPr="678AE29B" w:rsidR="57445761">
        <w:rPr>
          <w:rFonts w:eastAsia="Arial"/>
          <w:color w:val="A02B93" w:themeColor="accent5" w:themeTint="FF" w:themeShade="FF"/>
        </w:rPr>
        <w:t xml:space="preserve"> </w:t>
      </w:r>
      <w:r w:rsidRPr="678AE29B" w:rsidR="1207A55E">
        <w:rPr>
          <w:rFonts w:eastAsia="Arial"/>
          <w:color w:val="A02B93" w:themeColor="accent5" w:themeTint="FF" w:themeShade="FF"/>
        </w:rPr>
        <w:t xml:space="preserve">Semiannual </w:t>
      </w:r>
      <w:r w:rsidRPr="678AE29B" w:rsidR="38502F9A">
        <w:rPr>
          <w:rFonts w:eastAsia="Arial"/>
          <w:color w:val="A02B93" w:themeColor="accent5" w:themeTint="FF" w:themeShade="FF"/>
        </w:rPr>
        <w:t>f</w:t>
      </w:r>
      <w:r w:rsidRPr="678AE29B" w:rsidR="57445761">
        <w:rPr>
          <w:rFonts w:eastAsia="Arial"/>
          <w:color w:val="A02B93" w:themeColor="accent5" w:themeTint="FF" w:themeShade="FF"/>
        </w:rPr>
        <w:t xml:space="preserve">inancial report of expenses between July 1, </w:t>
      </w:r>
      <w:r w:rsidRPr="678AE29B" w:rsidR="57445761">
        <w:rPr>
          <w:rFonts w:eastAsia="Arial"/>
          <w:color w:val="A02B93" w:themeColor="accent5" w:themeTint="FF" w:themeShade="FF"/>
        </w:rPr>
        <w:t>202</w:t>
      </w:r>
      <w:r w:rsidRPr="678AE29B" w:rsidR="0AC8D403">
        <w:rPr>
          <w:rFonts w:eastAsia="Arial"/>
          <w:color w:val="A02B93" w:themeColor="accent5" w:themeTint="FF" w:themeShade="FF"/>
        </w:rPr>
        <w:t>6</w:t>
      </w:r>
      <w:r w:rsidRPr="678AE29B" w:rsidR="57445761">
        <w:rPr>
          <w:rFonts w:eastAsia="Arial"/>
          <w:color w:val="A02B93" w:themeColor="accent5" w:themeTint="FF" w:themeShade="FF"/>
        </w:rPr>
        <w:t xml:space="preserve"> and January 3</w:t>
      </w:r>
      <w:r w:rsidRPr="678AE29B" w:rsidR="304C8363">
        <w:rPr>
          <w:rFonts w:eastAsia="Arial"/>
          <w:color w:val="A02B93" w:themeColor="accent5" w:themeTint="FF" w:themeShade="FF"/>
        </w:rPr>
        <w:t>1</w:t>
      </w:r>
      <w:r w:rsidRPr="678AE29B" w:rsidR="57445761">
        <w:rPr>
          <w:rFonts w:eastAsia="Arial"/>
          <w:color w:val="A02B93" w:themeColor="accent5" w:themeTint="FF" w:themeShade="FF"/>
        </w:rPr>
        <w:t xml:space="preserve">, </w:t>
      </w:r>
      <w:r w:rsidRPr="678AE29B" w:rsidR="57445761">
        <w:rPr>
          <w:rFonts w:eastAsia="Arial"/>
          <w:color w:val="A02B93" w:themeColor="accent5" w:themeTint="FF" w:themeShade="FF"/>
        </w:rPr>
        <w:t>202</w:t>
      </w:r>
      <w:r w:rsidRPr="678AE29B" w:rsidR="1FE051AB">
        <w:rPr>
          <w:rFonts w:eastAsia="Arial"/>
          <w:color w:val="A02B93" w:themeColor="accent5" w:themeTint="FF" w:themeShade="FF"/>
        </w:rPr>
        <w:t>7</w:t>
      </w:r>
      <w:r w:rsidRPr="678AE29B" w:rsidR="57445761">
        <w:rPr>
          <w:rFonts w:eastAsia="Arial"/>
          <w:color w:val="A02B93" w:themeColor="accent5" w:themeTint="FF" w:themeShade="FF"/>
        </w:rPr>
        <w:t xml:space="preserve"> due</w:t>
      </w:r>
      <w:r w:rsidRPr="678AE29B" w:rsidR="2FDAC44F">
        <w:rPr>
          <w:rFonts w:eastAsia="Arial"/>
          <w:color w:val="A02B93" w:themeColor="accent5" w:themeTint="FF" w:themeShade="FF"/>
        </w:rPr>
        <w:t>.</w:t>
      </w:r>
    </w:p>
    <w:p w:rsidRPr="00660402" w:rsidR="00FE2449" w:rsidP="003F1405" w:rsidRDefault="00FE2449" w14:paraId="18FB9C0C" w14:textId="5D12670C">
      <w:pPr>
        <w:pStyle w:val="ListParagraph"/>
        <w:numPr>
          <w:ilvl w:val="0"/>
          <w:numId w:val="7"/>
        </w:numPr>
        <w:rPr>
          <w:rFonts w:eastAsia="Arial"/>
          <w:color w:val="A02B93" w:themeColor="accent5"/>
        </w:rPr>
      </w:pPr>
      <w:r w:rsidRPr="00660402">
        <w:rPr>
          <w:rFonts w:eastAsia="Arial"/>
          <w:b/>
          <w:bCs/>
          <w:color w:val="A02B93" w:themeColor="accent5"/>
        </w:rPr>
        <w:t>April 1, 202</w:t>
      </w:r>
      <w:r w:rsidR="0012342C">
        <w:rPr>
          <w:rFonts w:eastAsia="Arial"/>
          <w:b/>
          <w:bCs/>
          <w:color w:val="A02B93" w:themeColor="accent5"/>
        </w:rPr>
        <w:t>7</w:t>
      </w:r>
      <w:r w:rsidRPr="00660402">
        <w:rPr>
          <w:rFonts w:eastAsia="Arial"/>
          <w:color w:val="A02B93" w:themeColor="accent5"/>
        </w:rPr>
        <w:t xml:space="preserve"> – Dormant </w:t>
      </w:r>
      <w:r w:rsidRPr="00660402" w:rsidR="000E2F38">
        <w:rPr>
          <w:rFonts w:eastAsia="Arial"/>
          <w:color w:val="A02B93" w:themeColor="accent5"/>
        </w:rPr>
        <w:t xml:space="preserve">phase </w:t>
      </w:r>
      <w:r w:rsidRPr="00660402">
        <w:rPr>
          <w:rFonts w:eastAsia="Arial"/>
          <w:color w:val="A02B93" w:themeColor="accent5"/>
        </w:rPr>
        <w:t xml:space="preserve">management report due for </w:t>
      </w:r>
      <w:r w:rsidRPr="00660402" w:rsidR="00F54CDB">
        <w:rPr>
          <w:rFonts w:eastAsia="Arial"/>
          <w:color w:val="A02B93" w:themeColor="accent5"/>
        </w:rPr>
        <w:t>each</w:t>
      </w:r>
      <w:r w:rsidRPr="00660402">
        <w:rPr>
          <w:rFonts w:eastAsia="Arial"/>
          <w:color w:val="A02B93" w:themeColor="accent5"/>
        </w:rPr>
        <w:t xml:space="preserve"> enrolled MU.</w:t>
      </w:r>
    </w:p>
    <w:p w:rsidRPr="00660402" w:rsidR="00F54CDB" w:rsidP="00F54CDB" w:rsidRDefault="0083624F" w14:paraId="465697D4" w14:textId="50679F17">
      <w:pPr>
        <w:pStyle w:val="ListParagraph"/>
        <w:numPr>
          <w:ilvl w:val="0"/>
          <w:numId w:val="7"/>
        </w:numPr>
        <w:rPr>
          <w:rFonts w:eastAsia="Arial"/>
          <w:color w:val="A02B93" w:themeColor="accent5"/>
        </w:rPr>
      </w:pPr>
      <w:r w:rsidRPr="00660402">
        <w:rPr>
          <w:rFonts w:eastAsia="Arial"/>
          <w:b/>
          <w:bCs/>
          <w:color w:val="A02B93" w:themeColor="accent5"/>
        </w:rPr>
        <w:t>April 1, 202</w:t>
      </w:r>
      <w:r w:rsidR="0012342C">
        <w:rPr>
          <w:rFonts w:eastAsia="Arial"/>
          <w:b/>
          <w:bCs/>
          <w:color w:val="A02B93" w:themeColor="accent5"/>
        </w:rPr>
        <w:t>7</w:t>
      </w:r>
      <w:r w:rsidRPr="00660402">
        <w:rPr>
          <w:rFonts w:eastAsia="Arial"/>
          <w:b/>
          <w:bCs/>
          <w:color w:val="A02B93" w:themeColor="accent5"/>
        </w:rPr>
        <w:t xml:space="preserve"> to </w:t>
      </w:r>
      <w:r w:rsidRPr="00660402" w:rsidR="006A4AB9">
        <w:rPr>
          <w:rFonts w:eastAsia="Arial"/>
          <w:b/>
          <w:bCs/>
          <w:color w:val="A02B93" w:themeColor="accent5"/>
        </w:rPr>
        <w:t>June</w:t>
      </w:r>
      <w:r w:rsidRPr="00660402">
        <w:rPr>
          <w:rFonts w:eastAsia="Arial"/>
          <w:b/>
          <w:bCs/>
          <w:color w:val="A02B93" w:themeColor="accent5"/>
        </w:rPr>
        <w:t xml:space="preserve"> 3</w:t>
      </w:r>
      <w:r w:rsidRPr="00660402" w:rsidR="006A4AB9">
        <w:rPr>
          <w:rFonts w:eastAsia="Arial"/>
          <w:b/>
          <w:bCs/>
          <w:color w:val="A02B93" w:themeColor="accent5"/>
        </w:rPr>
        <w:t>0</w:t>
      </w:r>
      <w:r w:rsidRPr="00660402">
        <w:rPr>
          <w:rFonts w:eastAsia="Arial"/>
          <w:b/>
          <w:bCs/>
          <w:color w:val="A02B93" w:themeColor="accent5"/>
        </w:rPr>
        <w:t>, 202</w:t>
      </w:r>
      <w:r w:rsidR="0012342C">
        <w:rPr>
          <w:rFonts w:eastAsia="Arial"/>
          <w:b/>
          <w:bCs/>
          <w:color w:val="A02B93" w:themeColor="accent5"/>
        </w:rPr>
        <w:t>7</w:t>
      </w:r>
      <w:r w:rsidRPr="00660402">
        <w:rPr>
          <w:rFonts w:eastAsia="Arial"/>
          <w:b/>
          <w:bCs/>
          <w:color w:val="A02B93" w:themeColor="accent5"/>
        </w:rPr>
        <w:t xml:space="preserve"> –</w:t>
      </w:r>
      <w:r w:rsidRPr="00660402">
        <w:rPr>
          <w:rFonts w:eastAsia="Arial"/>
          <w:color w:val="A02B93" w:themeColor="accent5"/>
        </w:rPr>
        <w:t xml:space="preserve"> </w:t>
      </w:r>
      <w:r w:rsidRPr="00660402" w:rsidR="006A4AB9">
        <w:rPr>
          <w:rFonts w:eastAsia="Arial"/>
          <w:color w:val="A02B93" w:themeColor="accent5"/>
        </w:rPr>
        <w:t>Growing</w:t>
      </w:r>
      <w:r w:rsidRPr="00660402">
        <w:rPr>
          <w:rFonts w:eastAsia="Arial"/>
          <w:color w:val="A02B93" w:themeColor="accent5"/>
        </w:rPr>
        <w:t xml:space="preserve"> phase when one management action type should be performed per MU.</w:t>
      </w:r>
      <w:r w:rsidRPr="00660402" w:rsidR="00F54CDB">
        <w:rPr>
          <w:rFonts w:eastAsia="Arial"/>
          <w:color w:val="A02B93" w:themeColor="accent5"/>
        </w:rPr>
        <w:t xml:space="preserve"> </w:t>
      </w:r>
      <w:r w:rsidRPr="00660402" w:rsidR="00F54CDB">
        <w:rPr>
          <w:rFonts w:eastAsia="Arial"/>
          <w:i/>
          <w:iCs/>
          <w:color w:val="A02B93" w:themeColor="accent5"/>
        </w:rPr>
        <w:t xml:space="preserve">Note that management activities must conclude </w:t>
      </w:r>
      <w:r w:rsidRPr="00660402" w:rsidR="00F54CDB">
        <w:rPr>
          <w:rFonts w:eastAsia="Arial"/>
          <w:b/>
          <w:bCs/>
          <w:i/>
          <w:iCs/>
          <w:color w:val="A02B93" w:themeColor="accent5"/>
        </w:rPr>
        <w:t>at least one month</w:t>
      </w:r>
      <w:r w:rsidRPr="00660402" w:rsidR="00F54CDB">
        <w:rPr>
          <w:rFonts w:eastAsia="Arial"/>
          <w:i/>
          <w:iCs/>
          <w:color w:val="A02B93" w:themeColor="accent5"/>
        </w:rPr>
        <w:t xml:space="preserve"> before monitoring in July.</w:t>
      </w:r>
    </w:p>
    <w:p w:rsidRPr="00660402" w:rsidR="00FE2449" w:rsidP="003F1405" w:rsidRDefault="00FE2449" w14:paraId="5946CAF3" w14:textId="1D77094E">
      <w:pPr>
        <w:pStyle w:val="ListParagraph"/>
        <w:numPr>
          <w:ilvl w:val="0"/>
          <w:numId w:val="7"/>
        </w:numPr>
        <w:rPr>
          <w:rFonts w:eastAsia="Arial"/>
          <w:color w:val="A02B93" w:themeColor="accent5"/>
        </w:rPr>
      </w:pPr>
      <w:r w:rsidRPr="00660402">
        <w:rPr>
          <w:rFonts w:eastAsia="Arial"/>
          <w:b/>
          <w:bCs/>
          <w:color w:val="A02B93" w:themeColor="accent5"/>
        </w:rPr>
        <w:t>July 1, 202</w:t>
      </w:r>
      <w:r w:rsidR="0012342C">
        <w:rPr>
          <w:rFonts w:eastAsia="Arial"/>
          <w:b/>
          <w:bCs/>
          <w:color w:val="A02B93" w:themeColor="accent5"/>
        </w:rPr>
        <w:t>7</w:t>
      </w:r>
      <w:r w:rsidRPr="00660402">
        <w:rPr>
          <w:rFonts w:eastAsia="Arial"/>
          <w:color w:val="A02B93" w:themeColor="accent5"/>
        </w:rPr>
        <w:t xml:space="preserve"> – Growing </w:t>
      </w:r>
      <w:r w:rsidRPr="00660402" w:rsidR="000E2F38">
        <w:rPr>
          <w:rFonts w:eastAsia="Arial"/>
          <w:color w:val="A02B93" w:themeColor="accent5"/>
        </w:rPr>
        <w:t xml:space="preserve">phase </w:t>
      </w:r>
      <w:r w:rsidRPr="00660402">
        <w:rPr>
          <w:rFonts w:eastAsia="Arial"/>
          <w:color w:val="A02B93" w:themeColor="accent5"/>
        </w:rPr>
        <w:t xml:space="preserve">management report due for </w:t>
      </w:r>
      <w:r w:rsidRPr="00660402" w:rsidR="00F54CDB">
        <w:rPr>
          <w:rFonts w:eastAsia="Arial"/>
          <w:color w:val="A02B93" w:themeColor="accent5"/>
        </w:rPr>
        <w:t>each</w:t>
      </w:r>
      <w:r w:rsidRPr="00660402">
        <w:rPr>
          <w:rFonts w:eastAsia="Arial"/>
          <w:color w:val="A02B93" w:themeColor="accent5"/>
        </w:rPr>
        <w:t xml:space="preserve"> enrolled MU. </w:t>
      </w:r>
    </w:p>
    <w:p w:rsidRPr="00660402" w:rsidR="00F54CDB" w:rsidP="00F54CDB" w:rsidRDefault="00F54CDB" w14:paraId="3A9C3656" w14:textId="4EE5ED70">
      <w:pPr>
        <w:pStyle w:val="ListParagraph"/>
        <w:numPr>
          <w:ilvl w:val="0"/>
          <w:numId w:val="7"/>
        </w:numPr>
        <w:rPr>
          <w:rFonts w:eastAsia="Arial"/>
          <w:color w:val="A02B93" w:themeColor="accent5"/>
        </w:rPr>
      </w:pPr>
      <w:r w:rsidRPr="00660402">
        <w:rPr>
          <w:rFonts w:eastAsia="Arial"/>
          <w:b/>
          <w:bCs/>
          <w:color w:val="A02B93" w:themeColor="accent5"/>
        </w:rPr>
        <w:t>July 1–31, 202</w:t>
      </w:r>
      <w:r w:rsidR="0012342C">
        <w:rPr>
          <w:rFonts w:eastAsia="Arial"/>
          <w:b/>
          <w:bCs/>
          <w:color w:val="A02B93" w:themeColor="accent5"/>
        </w:rPr>
        <w:t>7</w:t>
      </w:r>
      <w:r w:rsidRPr="00660402">
        <w:rPr>
          <w:rFonts w:eastAsia="Arial"/>
          <w:color w:val="A02B93" w:themeColor="accent5"/>
        </w:rPr>
        <w:t xml:space="preserve"> – Time to conduct monitoring of each enrolled MU. </w:t>
      </w:r>
    </w:p>
    <w:p w:rsidRPr="00660402" w:rsidR="00FE2449" w:rsidP="00FE2449" w:rsidRDefault="00FE2449" w14:paraId="5E389965" w14:textId="61BE6CB6">
      <w:pPr>
        <w:pStyle w:val="ListParagraph"/>
        <w:numPr>
          <w:ilvl w:val="0"/>
          <w:numId w:val="7"/>
        </w:numPr>
        <w:rPr>
          <w:rFonts w:eastAsia="Arial"/>
          <w:color w:val="A02B93" w:themeColor="accent5"/>
        </w:rPr>
      </w:pPr>
      <w:r w:rsidRPr="00660402">
        <w:rPr>
          <w:rFonts w:eastAsia="Arial"/>
          <w:b/>
          <w:bCs/>
          <w:color w:val="A02B93" w:themeColor="accent5"/>
        </w:rPr>
        <w:t>July 31, 202</w:t>
      </w:r>
      <w:r w:rsidR="0012342C">
        <w:rPr>
          <w:rFonts w:eastAsia="Arial"/>
          <w:b/>
          <w:bCs/>
          <w:color w:val="A02B93" w:themeColor="accent5"/>
        </w:rPr>
        <w:t>7</w:t>
      </w:r>
      <w:r w:rsidRPr="00660402">
        <w:rPr>
          <w:rFonts w:eastAsia="Arial"/>
          <w:color w:val="A02B93" w:themeColor="accent5"/>
        </w:rPr>
        <w:t xml:space="preserve"> – Monitoring report </w:t>
      </w:r>
      <w:r w:rsidR="000E6E9B">
        <w:rPr>
          <w:rFonts w:eastAsia="Arial"/>
          <w:color w:val="A02B93" w:themeColor="accent5"/>
        </w:rPr>
        <w:t>#</w:t>
      </w:r>
      <w:r w:rsidRPr="00660402">
        <w:rPr>
          <w:rFonts w:eastAsia="Arial"/>
          <w:color w:val="A02B93" w:themeColor="accent5"/>
        </w:rPr>
        <w:t xml:space="preserve">2 due for </w:t>
      </w:r>
      <w:r w:rsidRPr="00660402" w:rsidR="00F54CDB">
        <w:rPr>
          <w:rFonts w:eastAsia="Arial"/>
          <w:color w:val="A02B93" w:themeColor="accent5"/>
        </w:rPr>
        <w:t>each</w:t>
      </w:r>
      <w:r w:rsidRPr="00660402">
        <w:rPr>
          <w:rFonts w:eastAsia="Arial"/>
          <w:color w:val="A02B93" w:themeColor="accent5"/>
        </w:rPr>
        <w:t xml:space="preserve"> enrolled MU; conclusion of grant activities.</w:t>
      </w:r>
    </w:p>
    <w:p w:rsidRPr="00660402" w:rsidR="00FE2449" w:rsidP="0031005A" w:rsidRDefault="00FE2449" w14:paraId="3C61AC0E" w14:textId="58A5B4C2">
      <w:pPr>
        <w:pStyle w:val="ListParagraph"/>
        <w:numPr>
          <w:ilvl w:val="0"/>
          <w:numId w:val="7"/>
        </w:numPr>
        <w:rPr>
          <w:rFonts w:eastAsia="Arial"/>
          <w:color w:val="A02B93" w:themeColor="accent5"/>
        </w:rPr>
      </w:pPr>
      <w:r w:rsidRPr="0F9209D9">
        <w:rPr>
          <w:rFonts w:eastAsia="Arial"/>
          <w:b/>
          <w:bCs/>
          <w:color w:val="A02B93" w:themeColor="accent5"/>
        </w:rPr>
        <w:t>August 30, 202</w:t>
      </w:r>
      <w:r w:rsidR="0012342C">
        <w:rPr>
          <w:rFonts w:eastAsia="Arial"/>
          <w:b/>
          <w:bCs/>
          <w:color w:val="A02B93" w:themeColor="accent5"/>
        </w:rPr>
        <w:t>7</w:t>
      </w:r>
      <w:r w:rsidRPr="0F9209D9">
        <w:rPr>
          <w:rFonts w:eastAsia="Arial"/>
          <w:color w:val="A02B93" w:themeColor="accent5"/>
        </w:rPr>
        <w:t xml:space="preserve"> – Latest submission of final reports and grant deliverables. </w:t>
      </w:r>
    </w:p>
    <w:p w:rsidRPr="00660402" w:rsidR="00FE2449" w:rsidP="00825776" w:rsidRDefault="00FE2449" w14:paraId="2E465EB1"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p>
    <w:p w:rsidRPr="00660402" w:rsidR="009B48FD" w:rsidP="009B48FD" w:rsidRDefault="009B48FD" w14:paraId="74EED3DB" w14:textId="77777777">
      <w:pPr>
        <w:pStyle w:val="ListParagraph"/>
      </w:pPr>
    </w:p>
    <w:p w:rsidRPr="00660402" w:rsidR="00825776" w:rsidP="009B48FD" w:rsidRDefault="009B48FD" w14:paraId="6A22646B" w14:textId="77777777">
      <w:pPr>
        <w:pStyle w:val="Level1"/>
        <w:numPr>
          <w:ilvl w:val="0"/>
          <w:numId w:val="2"/>
        </w:numPr>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660402">
        <w:rPr>
          <w:u w:val="single"/>
        </w:rPr>
        <w:t>Commitment to Genetic Testing</w:t>
      </w:r>
      <w:r w:rsidRPr="00660402">
        <w:t xml:space="preserve">: </w:t>
      </w:r>
    </w:p>
    <w:p w:rsidRPr="00660402" w:rsidR="00825776" w:rsidP="00825776" w:rsidRDefault="00825776" w14:paraId="3BCCC119"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Pr="00660402" w:rsidR="00825776" w:rsidP="00825776" w:rsidRDefault="00825776" w14:paraId="13BEAD84"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006A2DA8" w:rsidP="0F9209D9" w:rsidRDefault="009B48FD" w14:paraId="7AB03D99" w14:textId="6A66891B">
      <w:pPr>
        <w:pStyle w:val="Level1"/>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1EFF04A">
        <w:rPr>
          <w:color w:val="A02B93" w:themeColor="accent5"/>
        </w:rPr>
        <w:t xml:space="preserve">Genetic testing of </w:t>
      </w:r>
      <w:r w:rsidRPr="01EFF04A">
        <w:rPr>
          <w:i/>
          <w:iCs/>
          <w:color w:val="A02B93" w:themeColor="accent5"/>
        </w:rPr>
        <w:t xml:space="preserve">Phragmites </w:t>
      </w:r>
      <w:r w:rsidRPr="01EFF04A">
        <w:rPr>
          <w:color w:val="A02B93" w:themeColor="accent5"/>
        </w:rPr>
        <w:t xml:space="preserve">in the proposed management unit </w:t>
      </w:r>
      <w:r w:rsidRPr="01EFF04A" w:rsidR="191E802A">
        <w:rPr>
          <w:color w:val="A02B93" w:themeColor="accent5"/>
        </w:rPr>
        <w:t xml:space="preserve">is </w:t>
      </w:r>
      <w:r w:rsidRPr="01EFF04A">
        <w:rPr>
          <w:color w:val="A02B93" w:themeColor="accent5"/>
        </w:rPr>
        <w:t xml:space="preserve">required by all applicants to ensure that grant funds will be used to manage non-native </w:t>
      </w:r>
      <w:r w:rsidRPr="01EFF04A">
        <w:rPr>
          <w:i/>
          <w:iCs/>
          <w:color w:val="A02B93" w:themeColor="accent5"/>
        </w:rPr>
        <w:t>Phragmites australis</w:t>
      </w:r>
      <w:r w:rsidRPr="01EFF04A">
        <w:rPr>
          <w:color w:val="A02B93" w:themeColor="accent5"/>
        </w:rPr>
        <w:t xml:space="preserve"> subsp. </w:t>
      </w:r>
      <w:r w:rsidRPr="01EFF04A">
        <w:rPr>
          <w:i/>
          <w:iCs/>
          <w:color w:val="A02B93" w:themeColor="accent5"/>
        </w:rPr>
        <w:t>australis</w:t>
      </w:r>
      <w:r w:rsidRPr="01EFF04A">
        <w:rPr>
          <w:color w:val="A02B93" w:themeColor="accent5"/>
        </w:rPr>
        <w:t>.</w:t>
      </w:r>
      <w:r w:rsidRPr="01EFF04A" w:rsidR="006A2DA8">
        <w:rPr>
          <w:color w:val="A02B93" w:themeColor="accent5"/>
        </w:rPr>
        <w:t xml:space="preserve"> </w:t>
      </w:r>
      <w:r w:rsidRPr="01EFF04A">
        <w:rPr>
          <w:b/>
          <w:bCs/>
          <w:color w:val="A02B93" w:themeColor="accent5"/>
        </w:rPr>
        <w:t xml:space="preserve">Award fund distribution is conditional on genetic verification of non-native </w:t>
      </w:r>
      <w:r w:rsidRPr="01EFF04A">
        <w:rPr>
          <w:b/>
          <w:bCs/>
          <w:i/>
          <w:iCs/>
          <w:color w:val="A02B93" w:themeColor="accent5"/>
        </w:rPr>
        <w:t>Phragmites</w:t>
      </w:r>
      <w:r w:rsidRPr="01EFF04A">
        <w:rPr>
          <w:b/>
          <w:bCs/>
          <w:color w:val="A02B93" w:themeColor="accent5"/>
        </w:rPr>
        <w:t xml:space="preserve"> subspecies. Genetic testing services will be provided at no cost to all selected grantees. </w:t>
      </w:r>
      <w:r w:rsidRPr="7F28A140" w:rsidR="006A2DA8">
        <w:rPr>
          <w:color w:val="A02B93" w:themeColor="accent5"/>
        </w:rPr>
        <w:t xml:space="preserve">Provide a general statement about your commitment to collecting and submitting </w:t>
      </w:r>
      <w:r w:rsidRPr="7F28A140" w:rsidR="68D569D8">
        <w:rPr>
          <w:i/>
          <w:iCs/>
          <w:color w:val="A02B93" w:themeColor="accent5"/>
        </w:rPr>
        <w:t xml:space="preserve">Phragmites </w:t>
      </w:r>
      <w:r w:rsidRPr="7F28A140" w:rsidR="006A2DA8">
        <w:rPr>
          <w:color w:val="A02B93" w:themeColor="accent5"/>
        </w:rPr>
        <w:t xml:space="preserve">samples for genetic testing by </w:t>
      </w:r>
      <w:r w:rsidRPr="00D5475B" w:rsidR="3ED5D304">
        <w:rPr>
          <w:b/>
          <w:bCs/>
          <w:color w:val="A02B93" w:themeColor="accent5"/>
        </w:rPr>
        <w:t>June 15</w:t>
      </w:r>
      <w:r w:rsidR="009E145C">
        <w:rPr>
          <w:color w:val="A02B93" w:themeColor="accent5"/>
        </w:rPr>
        <w:t xml:space="preserve"> or leave this statement and check the box:</w:t>
      </w:r>
    </w:p>
    <w:p w:rsidR="00AA5947" w:rsidP="0F9209D9" w:rsidRDefault="00AA5947" w14:paraId="7E6EE56E" w14:textId="77777777">
      <w:pPr>
        <w:pStyle w:val="Level1"/>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p>
    <w:p w:rsidRPr="00D5475B" w:rsidR="00AA5947" w:rsidP="00D5475B" w:rsidRDefault="00000000" w14:paraId="6A9ECDE6" w14:textId="6E430621">
      <w:pPr>
        <w:pStyle w:val="Level1"/>
        <w:tabs>
          <w:tab w:val="left" w:pos="1980"/>
        </w:tabs>
        <w:ind w:left="0"/>
      </w:pPr>
      <w:sdt>
        <w:sdtPr>
          <w:id w:val="292033237"/>
          <w14:checkbox>
            <w14:checked w14:val="0"/>
            <w14:checkedState w14:val="2612" w14:font="MS Gothic"/>
            <w14:uncheckedState w14:val="2610" w14:font="MS Gothic"/>
          </w14:checkbox>
        </w:sdtPr>
        <w:sdtContent>
          <w:r w:rsidR="00022528">
            <w:rPr>
              <w:rFonts w:hint="eastAsia" w:ascii="MS Gothic" w:hAnsi="MS Gothic" w:eastAsia="MS Gothic"/>
            </w:rPr>
            <w:t>☐</w:t>
          </w:r>
        </w:sdtContent>
      </w:sdt>
      <w:r w:rsidRPr="00D5475B" w:rsidR="009E145C">
        <w:t xml:space="preserve"> The project team commits to collect</w:t>
      </w:r>
      <w:r w:rsidR="002B4067">
        <w:t>ing</w:t>
      </w:r>
      <w:r w:rsidRPr="00D5475B" w:rsidR="009E145C">
        <w:t xml:space="preserve"> and </w:t>
      </w:r>
      <w:r w:rsidRPr="002B4067" w:rsidR="002B4067">
        <w:t>submit</w:t>
      </w:r>
      <w:r w:rsidR="002B4067">
        <w:t>ting</w:t>
      </w:r>
      <w:r w:rsidRPr="00D5475B" w:rsidR="009E145C">
        <w:t xml:space="preserve"> </w:t>
      </w:r>
      <w:r w:rsidRPr="00D5475B" w:rsidR="009E145C">
        <w:rPr>
          <w:i/>
          <w:iCs/>
        </w:rPr>
        <w:t xml:space="preserve">Phragmites </w:t>
      </w:r>
      <w:r w:rsidRPr="00D5475B" w:rsidR="009E145C">
        <w:t xml:space="preserve">leaf samples for genetic </w:t>
      </w:r>
      <w:r w:rsidRPr="00D5475B" w:rsidR="009E145C">
        <w:lastRenderedPageBreak/>
        <w:t xml:space="preserve">testing by </w:t>
      </w:r>
      <w:r w:rsidRPr="00D5475B" w:rsidR="009E145C">
        <w:rPr>
          <w:b/>
          <w:bCs/>
        </w:rPr>
        <w:t>June 15, 202</w:t>
      </w:r>
      <w:r w:rsidR="0012342C">
        <w:rPr>
          <w:b/>
          <w:bCs/>
        </w:rPr>
        <w:t>6</w:t>
      </w:r>
      <w:r w:rsidRPr="00D5475B" w:rsidR="009E145C">
        <w:rPr>
          <w:b/>
          <w:bCs/>
        </w:rPr>
        <w:t>.</w:t>
      </w:r>
    </w:p>
    <w:p w:rsidRPr="00660402" w:rsidR="006A2DA8" w:rsidP="006A2DA8" w:rsidRDefault="006A2DA8" w14:paraId="04318461" w14:textId="77777777">
      <w:pPr>
        <w:tabs>
          <w:tab w:val="clear" w:pos="2160"/>
          <w:tab w:val="left" w:pos="-1200"/>
          <w:tab w:val="left" w:pos="-720"/>
          <w:tab w:val="left" w:pos="19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02B93" w:themeColor="accent5"/>
        </w:rPr>
      </w:pPr>
    </w:p>
    <w:p w:rsidRPr="00660402" w:rsidR="009B48FD" w:rsidP="006A2DA8" w:rsidRDefault="009B48FD" w14:paraId="07761458" w14:textId="77777777">
      <w:pPr>
        <w:rPr>
          <w:u w:val="single"/>
        </w:rPr>
      </w:pPr>
    </w:p>
    <w:p w:rsidRPr="00660402" w:rsidR="006A2DA8" w:rsidP="009B48FD" w:rsidRDefault="009B48FD" w14:paraId="024AC519" w14:textId="77777777">
      <w:pPr>
        <w:pStyle w:val="Level1"/>
        <w:numPr>
          <w:ilvl w:val="0"/>
          <w:numId w:val="2"/>
        </w:numPr>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bookmarkStart w:name="_Hlk187739728" w:id="0"/>
      <w:r w:rsidRPr="00660402">
        <w:rPr>
          <w:u w:val="single"/>
        </w:rPr>
        <w:t>Commitment to Obtain Insurance</w:t>
      </w:r>
      <w:r w:rsidRPr="00660402">
        <w:t xml:space="preserve">: </w:t>
      </w:r>
    </w:p>
    <w:p w:rsidRPr="00660402" w:rsidR="006A2DA8" w:rsidP="006A2DA8" w:rsidRDefault="006A2DA8" w14:paraId="70B1D2D5"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u w:val="single"/>
        </w:rPr>
      </w:pPr>
    </w:p>
    <w:p w:rsidRPr="00660402" w:rsidR="006A2DA8" w:rsidP="0F9209D9" w:rsidRDefault="009B48FD" w14:paraId="6AB04F7C" w14:textId="253C3983">
      <w:pPr>
        <w:pStyle w:val="Level1"/>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0660402">
        <w:rPr>
          <w:color w:val="A02B93" w:themeColor="accent5"/>
          <w:spacing w:val="-2"/>
        </w:rPr>
        <w:t>Successful applicants must agree to obtain, provide, and maintain liability and other insurance coverages at not less than the levels indicated (see Section B. Project Budget - Insurance).</w:t>
      </w:r>
      <w:r w:rsidRPr="00660402" w:rsidR="006A2DA8">
        <w:rPr>
          <w:color w:val="A02B93" w:themeColor="accent5"/>
          <w:spacing w:val="-2"/>
        </w:rPr>
        <w:t xml:space="preserve"> </w:t>
      </w:r>
      <w:r w:rsidRPr="0F9209D9" w:rsidR="006A2DA8">
        <w:rPr>
          <w:color w:val="A02B93" w:themeColor="accent5"/>
        </w:rPr>
        <w:t xml:space="preserve">Provide a general statement about your commitment to obtaining the required insurance upon acceptance </w:t>
      </w:r>
      <w:r w:rsidRPr="0F9209D9" w:rsidR="000457D6">
        <w:rPr>
          <w:color w:val="A02B93" w:themeColor="accent5"/>
        </w:rPr>
        <w:t>of grant funds</w:t>
      </w:r>
      <w:r w:rsidR="009E145C">
        <w:rPr>
          <w:color w:val="A02B93" w:themeColor="accent5"/>
        </w:rPr>
        <w:t xml:space="preserve"> or leave this statement and check this box:</w:t>
      </w:r>
    </w:p>
    <w:p w:rsidR="006A2DA8" w:rsidP="006A2DA8" w:rsidRDefault="006A2DA8" w14:paraId="1010AC57"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p>
    <w:p w:rsidRPr="00D67124" w:rsidR="009E145C" w:rsidP="009E145C" w:rsidRDefault="00000000" w14:paraId="4343FFD2" w14:textId="0FF78719">
      <w:pPr>
        <w:pStyle w:val="Level1"/>
        <w:tabs>
          <w:tab w:val="left" w:pos="1980"/>
        </w:tabs>
        <w:ind w:left="0"/>
      </w:pPr>
      <w:sdt>
        <w:sdtPr>
          <w:id w:val="245923958"/>
          <w14:checkbox>
            <w14:checked w14:val="0"/>
            <w14:checkedState w14:val="2612" w14:font="MS Gothic"/>
            <w14:uncheckedState w14:val="2610" w14:font="MS Gothic"/>
          </w14:checkbox>
        </w:sdtPr>
        <w:sdtContent>
          <w:r w:rsidR="006B4159">
            <w:rPr>
              <w:rFonts w:hint="eastAsia" w:ascii="MS Gothic" w:hAnsi="MS Gothic" w:eastAsia="MS Gothic"/>
            </w:rPr>
            <w:t>☐</w:t>
          </w:r>
        </w:sdtContent>
      </w:sdt>
      <w:r w:rsidRPr="00D67124" w:rsidR="009E145C">
        <w:t xml:space="preserve"> The project team commits to </w:t>
      </w:r>
      <w:r w:rsidR="004F2B60">
        <w:t>obtaining</w:t>
      </w:r>
      <w:r w:rsidR="009E145C">
        <w:t xml:space="preserve"> the required insurance upon acceptance of grant funds and provid</w:t>
      </w:r>
      <w:r w:rsidR="004F2B60">
        <w:t>ing</w:t>
      </w:r>
      <w:r w:rsidR="009E145C">
        <w:t xml:space="preserve"> documentation of insurance to AAMP administrators.</w:t>
      </w:r>
    </w:p>
    <w:p w:rsidR="009E145C" w:rsidP="006A2DA8" w:rsidRDefault="009E145C" w14:paraId="0CA55F5A"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p>
    <w:p w:rsidRPr="0012342C" w:rsidR="0012342C" w:rsidP="006A2DA8" w:rsidRDefault="0012342C" w14:paraId="78CE49CA"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p>
    <w:p w:rsidR="0012342C" w:rsidP="0056130E" w:rsidRDefault="0012342C" w14:paraId="6F785307" w14:textId="77777777">
      <w:pPr>
        <w:pStyle w:val="Level1"/>
        <w:numPr>
          <w:ilvl w:val="0"/>
          <w:numId w:val="2"/>
        </w:numPr>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12342C">
        <w:rPr>
          <w:u w:val="single"/>
        </w:rPr>
        <w:t>Commitment to Execute Contract in a Timely Manner</w:t>
      </w:r>
      <w:r w:rsidRPr="0012342C">
        <w:t xml:space="preserve">: </w:t>
      </w:r>
    </w:p>
    <w:p w:rsidR="0012342C" w:rsidP="0012342C" w:rsidRDefault="0012342C" w14:paraId="10C9D38A" w14:textId="77777777">
      <w:pPr>
        <w:pStyle w:val="Level1"/>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spacing w:val="-2"/>
        </w:rPr>
      </w:pPr>
    </w:p>
    <w:p w:rsidRPr="000E7DDF" w:rsidR="0012342C" w:rsidP="0012342C" w:rsidRDefault="0012342C" w14:paraId="24A421CE" w14:textId="6C443AA9">
      <w:pPr>
        <w:pStyle w:val="Level1"/>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spacing w:val="-2"/>
        </w:rPr>
      </w:pPr>
      <w:r w:rsidRPr="00660402">
        <w:rPr>
          <w:color w:val="A02B93" w:themeColor="accent5"/>
          <w:spacing w:val="-2"/>
        </w:rPr>
        <w:t xml:space="preserve">Successful applicants must agree to obtain, </w:t>
      </w:r>
      <w:r w:rsidRPr="000E7DDF" w:rsidR="000E7DDF">
        <w:rPr>
          <w:color w:val="A02B93" w:themeColor="accent5"/>
          <w:spacing w:val="-2"/>
        </w:rPr>
        <w:t xml:space="preserve">to sign and provide all necessary contracting materials within one month of receipt of contract from GLC. Those applicants who require a longer </w:t>
      </w:r>
      <w:r w:rsidR="006B4159">
        <w:rPr>
          <w:color w:val="A02B93" w:themeColor="accent5"/>
          <w:spacing w:val="-2"/>
        </w:rPr>
        <w:t>internal</w:t>
      </w:r>
      <w:r w:rsidRPr="000E7DDF" w:rsidR="000E7DDF">
        <w:rPr>
          <w:color w:val="A02B93" w:themeColor="accent5"/>
          <w:spacing w:val="-2"/>
        </w:rPr>
        <w:t xml:space="preserve"> review process must indicate as such in their proposal. </w:t>
      </w:r>
      <w:r w:rsidRPr="0F9209D9">
        <w:rPr>
          <w:color w:val="A02B93" w:themeColor="accent5"/>
        </w:rPr>
        <w:t xml:space="preserve">Provide a general statement about your commitment to </w:t>
      </w:r>
      <w:r w:rsidR="000E7DDF">
        <w:rPr>
          <w:color w:val="A02B93" w:themeColor="accent5"/>
        </w:rPr>
        <w:t>the timely execution of</w:t>
      </w:r>
      <w:r w:rsidR="006B4159">
        <w:rPr>
          <w:color w:val="A02B93" w:themeColor="accent5"/>
        </w:rPr>
        <w:t xml:space="preserve"> the contract </w:t>
      </w:r>
      <w:r>
        <w:rPr>
          <w:color w:val="A02B93" w:themeColor="accent5"/>
        </w:rPr>
        <w:t>and check this box:</w:t>
      </w:r>
    </w:p>
    <w:p w:rsidR="0012342C" w:rsidP="0012342C" w:rsidRDefault="0012342C" w14:paraId="4C16E035"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u w:val="single"/>
        </w:rPr>
      </w:pPr>
    </w:p>
    <w:p w:rsidRPr="0012342C" w:rsidR="0012342C" w:rsidP="006B4159" w:rsidRDefault="00000000" w14:paraId="5AD69CBE" w14:textId="692E8D2F">
      <w:pPr>
        <w:pStyle w:val="Level1"/>
        <w:tabs>
          <w:tab w:val="left" w:pos="1980"/>
        </w:tabs>
        <w:ind w:left="0"/>
      </w:pPr>
      <w:sdt>
        <w:sdtPr>
          <w:id w:val="1275904460"/>
          <w14:checkbox>
            <w14:checked w14:val="0"/>
            <w14:checkedState w14:val="2612" w14:font="MS Gothic"/>
            <w14:uncheckedState w14:val="2610" w14:font="MS Gothic"/>
          </w14:checkbox>
        </w:sdtPr>
        <w:sdtContent>
          <w:r w:rsidR="006B4159">
            <w:rPr>
              <w:rFonts w:hint="eastAsia" w:ascii="MS Gothic" w:hAnsi="MS Gothic" w:eastAsia="MS Gothic"/>
            </w:rPr>
            <w:t>☐</w:t>
          </w:r>
        </w:sdtContent>
      </w:sdt>
      <w:r w:rsidRPr="00D67124" w:rsidR="006B4159">
        <w:t xml:space="preserve"> The project team commits to </w:t>
      </w:r>
      <w:r w:rsidRPr="0012342C" w:rsidR="0012342C">
        <w:rPr>
          <w:rFonts w:cs="Arial"/>
          <w:spacing w:val="-2"/>
        </w:rPr>
        <w:t>sign</w:t>
      </w:r>
      <w:r w:rsidR="006B4159">
        <w:rPr>
          <w:rFonts w:cs="Arial"/>
          <w:spacing w:val="-2"/>
        </w:rPr>
        <w:t>ing</w:t>
      </w:r>
      <w:r w:rsidRPr="0012342C" w:rsidR="0012342C">
        <w:rPr>
          <w:rFonts w:cs="Arial"/>
          <w:spacing w:val="-2"/>
        </w:rPr>
        <w:t xml:space="preserve"> and provid</w:t>
      </w:r>
      <w:r w:rsidR="006B4159">
        <w:rPr>
          <w:rFonts w:cs="Arial"/>
          <w:spacing w:val="-2"/>
        </w:rPr>
        <w:t>ing</w:t>
      </w:r>
      <w:r w:rsidRPr="0012342C" w:rsidR="0012342C">
        <w:rPr>
          <w:rFonts w:cs="Arial"/>
          <w:spacing w:val="-2"/>
        </w:rPr>
        <w:t xml:space="preserve"> all necessary contracting materials within one month of receipt of contract from GLC</w:t>
      </w:r>
      <w:r w:rsidR="006B4159">
        <w:t>.</w:t>
      </w:r>
    </w:p>
    <w:p w:rsidRPr="00660402" w:rsidR="0012342C" w:rsidP="006A2DA8" w:rsidRDefault="0012342C" w14:paraId="21B293A3"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p>
    <w:p w:rsidRPr="00660402" w:rsidR="009B48FD" w:rsidP="009B48FD" w:rsidRDefault="009B48FD" w14:paraId="3E6960D4" w14:textId="77777777">
      <w:pPr>
        <w:tabs>
          <w:tab w:val="clear" w:pos="2160"/>
          <w:tab w:val="left" w:pos="-1200"/>
          <w:tab w:val="left" w:pos="-720"/>
          <w:tab w:val="left" w:pos="19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bookmarkEnd w:id="0"/>
    <w:p w:rsidRPr="006F2F38" w:rsidR="0057366F" w:rsidRDefault="008355F5" w14:paraId="59860940" w14:textId="1DB17B4F">
      <w:pPr>
        <w:rPr>
          <w:b/>
          <w:bCs/>
        </w:rPr>
      </w:pPr>
      <w:r w:rsidRPr="006F2F38">
        <w:rPr>
          <w:b/>
          <w:bCs/>
        </w:rPr>
        <w:t>B. Project Budget</w:t>
      </w:r>
    </w:p>
    <w:p w:rsidRPr="00660402" w:rsidR="00E3378B" w:rsidRDefault="00E3378B" w14:paraId="2F7D3D16" w14:textId="77777777"/>
    <w:p w:rsidRPr="00660402" w:rsidR="009406A7" w:rsidP="009406A7" w:rsidRDefault="009406A7" w14:paraId="7655D5F0" w14:textId="213F5E3D">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0660402">
        <w:rPr>
          <w:color w:val="A02B93" w:themeColor="accent5"/>
        </w:rPr>
        <w:t xml:space="preserve">Proposals must use the budget template </w:t>
      </w:r>
      <w:r w:rsidRPr="00660402" w:rsidR="006E675C">
        <w:rPr>
          <w:color w:val="A02B93" w:themeColor="accent5"/>
        </w:rPr>
        <w:t>below</w:t>
      </w:r>
      <w:r w:rsidRPr="00660402">
        <w:rPr>
          <w:color w:val="A02B93" w:themeColor="accent5"/>
        </w:rPr>
        <w:t xml:space="preserve"> to itemize the following project costs, as described: </w:t>
      </w:r>
    </w:p>
    <w:p w:rsidRPr="00660402" w:rsidR="009406A7" w:rsidP="009406A7" w:rsidRDefault="009406A7" w14:paraId="55FD54F1" w14:textId="77777777">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p>
    <w:p w:rsidRPr="00660402" w:rsidR="009406A7" w:rsidP="01EFF04A" w:rsidRDefault="009406A7" w14:paraId="72B08C05" w14:textId="18A69BA1">
      <w:pPr>
        <w:pStyle w:val="Level1"/>
        <w:numPr>
          <w:ilvl w:val="0"/>
          <w:numId w:val="6"/>
        </w:num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A02B93" w:themeColor="accent5"/>
        </w:rPr>
      </w:pPr>
      <w:r w:rsidRPr="01EFF04A">
        <w:rPr>
          <w:b/>
          <w:bCs/>
          <w:color w:val="A02B93" w:themeColor="accent5"/>
        </w:rPr>
        <w:t xml:space="preserve">Salaries: </w:t>
      </w:r>
      <w:r w:rsidRPr="01EFF04A">
        <w:rPr>
          <w:color w:val="A02B93" w:themeColor="accent5"/>
        </w:rPr>
        <w:t xml:space="preserve">For each member of the project team, please specify title, number of hours, and hourly rate. An additional 10 – 15 hours per management unit should be included in salaries to cover participating in the required PAMF activities including initial training, collection of monitoring data, and submitting required PAMF reports. </w:t>
      </w:r>
    </w:p>
    <w:p w:rsidRPr="00660402" w:rsidR="009406A7" w:rsidP="01EFF04A" w:rsidRDefault="009406A7" w14:paraId="79F8A049" w14:textId="5F1EF98B">
      <w:pPr>
        <w:pStyle w:val="Level1"/>
        <w:numPr>
          <w:ilvl w:val="0"/>
          <w:numId w:val="6"/>
        </w:num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A02B93" w:themeColor="accent5"/>
        </w:rPr>
      </w:pPr>
      <w:r w:rsidRPr="01EFF04A">
        <w:rPr>
          <w:b/>
          <w:bCs/>
          <w:color w:val="A02B93" w:themeColor="accent5"/>
        </w:rPr>
        <w:t xml:space="preserve">Fringe benefits: </w:t>
      </w:r>
      <w:r w:rsidRPr="01EFF04A">
        <w:rPr>
          <w:color w:val="A02B93" w:themeColor="accent5"/>
        </w:rPr>
        <w:t xml:space="preserve">No formal limit on the rate of fringe benefits is established; however, the </w:t>
      </w:r>
      <w:r w:rsidRPr="01EFF04A" w:rsidR="13F20F1D">
        <w:rPr>
          <w:color w:val="A02B93" w:themeColor="accent5"/>
        </w:rPr>
        <w:t>Great Lakes Commission (</w:t>
      </w:r>
      <w:r w:rsidRPr="01EFF04A">
        <w:rPr>
          <w:color w:val="A02B93" w:themeColor="accent5"/>
        </w:rPr>
        <w:t>GLC</w:t>
      </w:r>
      <w:r w:rsidRPr="01EFF04A" w:rsidR="16A69C99">
        <w:rPr>
          <w:color w:val="A02B93" w:themeColor="accent5"/>
        </w:rPr>
        <w:t>)</w:t>
      </w:r>
      <w:r w:rsidRPr="01EFF04A">
        <w:rPr>
          <w:color w:val="A02B93" w:themeColor="accent5"/>
        </w:rPr>
        <w:t xml:space="preserve"> reserves the right to request documentation of fringe benefit rate calculations.</w:t>
      </w:r>
    </w:p>
    <w:p w:rsidRPr="00660402" w:rsidR="009406A7" w:rsidP="7F28A140" w:rsidRDefault="009406A7" w14:paraId="522A161E" w14:textId="1C495D51">
      <w:pPr>
        <w:pStyle w:val="Level1"/>
        <w:numPr>
          <w:ilvl w:val="0"/>
          <w:numId w:val="6"/>
        </w:num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7F28A140">
        <w:rPr>
          <w:b/>
          <w:bCs/>
          <w:color w:val="A02B93" w:themeColor="accent5"/>
        </w:rPr>
        <w:t xml:space="preserve">Indirect costs: </w:t>
      </w:r>
      <w:r w:rsidRPr="00C85B0C" w:rsidR="00C85B0C">
        <w:rPr>
          <w:color w:val="A02B93" w:themeColor="accent5"/>
        </w:rPr>
        <w:t xml:space="preserve">Grantees with a Negotiated Indirect Cost Rate Agreement (NICRA) may charge up to 25% of salaries and benefits (which is the indirect rate limit set by this funding opportunity). Please include your entity’s cost rate agreement with your proposal documents. Those without a NICRA can charge 15% of modified total direct costs (MTDC), which is the current de </w:t>
      </w:r>
      <w:proofErr w:type="spellStart"/>
      <w:r w:rsidRPr="00C85B0C" w:rsidR="00C85B0C">
        <w:rPr>
          <w:color w:val="A02B93" w:themeColor="accent5"/>
        </w:rPr>
        <w:t>minimus</w:t>
      </w:r>
      <w:proofErr w:type="spellEnd"/>
      <w:r w:rsidRPr="00C85B0C" w:rsidR="00C85B0C">
        <w:rPr>
          <w:color w:val="A02B93" w:themeColor="accent5"/>
        </w:rPr>
        <w:t xml:space="preserve"> rate set by the OMB Uniform Guidance.</w:t>
      </w:r>
    </w:p>
    <w:p w:rsidRPr="00660402" w:rsidR="009406A7" w:rsidP="009406A7" w:rsidRDefault="009406A7" w14:paraId="339F51A5" w14:textId="77777777">
      <w:pPr>
        <w:pStyle w:val="Level1"/>
        <w:numPr>
          <w:ilvl w:val="0"/>
          <w:numId w:val="6"/>
        </w:numPr>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02B93" w:themeColor="accent5"/>
        </w:rPr>
      </w:pPr>
      <w:r w:rsidRPr="00660402">
        <w:rPr>
          <w:b/>
          <w:color w:val="A02B93" w:themeColor="accent5"/>
        </w:rPr>
        <w:t xml:space="preserve">Contracts: </w:t>
      </w:r>
      <w:r w:rsidRPr="00660402">
        <w:rPr>
          <w:color w:val="A02B93" w:themeColor="accent5"/>
        </w:rPr>
        <w:t>There are limits to</w:t>
      </w:r>
      <w:r w:rsidRPr="00660402">
        <w:rPr>
          <w:b/>
          <w:color w:val="A02B93" w:themeColor="accent5"/>
        </w:rPr>
        <w:t xml:space="preserve"> </w:t>
      </w:r>
      <w:r w:rsidRPr="00660402">
        <w:rPr>
          <w:color w:val="A02B93" w:themeColor="accent5"/>
        </w:rPr>
        <w:t>costs for consultants or other contract work. The federal government caps the rate allowed for individual consultants, and consultant expenses exceeding these caps will not be allowed.</w:t>
      </w:r>
    </w:p>
    <w:p w:rsidRPr="00660402" w:rsidR="009406A7" w:rsidP="77C1D76C" w:rsidRDefault="1272606C" w14:paraId="020BEB21" w14:textId="40F708C8">
      <w:pPr>
        <w:pStyle w:val="Level1"/>
        <w:numPr>
          <w:ilvl w:val="0"/>
          <w:numId w:val="6"/>
        </w:num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02B93" w:themeColor="accent5"/>
        </w:rPr>
      </w:pPr>
      <w:r w:rsidRPr="7F28A140">
        <w:rPr>
          <w:b/>
          <w:bCs/>
          <w:color w:val="A02B93" w:themeColor="accent5"/>
        </w:rPr>
        <w:t xml:space="preserve">Direct costs: </w:t>
      </w:r>
      <w:r w:rsidRPr="7F28A140">
        <w:rPr>
          <w:color w:val="A02B93" w:themeColor="accent5"/>
        </w:rPr>
        <w:t xml:space="preserve">Other eligible costs such as project supplies (management materials), staff/volunteer refreshments, etc. Please itemize and provide calculations for costs when </w:t>
      </w:r>
      <w:r w:rsidRPr="7F28A140">
        <w:rPr>
          <w:color w:val="A02B93" w:themeColor="accent5"/>
        </w:rPr>
        <w:lastRenderedPageBreak/>
        <w:t>applicable. Costs for “refreshments” are limited under this RFP to those necessary to ensure health and safety of staff and volunteers assisting with events in approved work plan.</w:t>
      </w:r>
      <w:r w:rsidRPr="7F28A140" w:rsidR="66EB6B02">
        <w:rPr>
          <w:color w:val="A02B93" w:themeColor="accent5"/>
        </w:rPr>
        <w:t xml:space="preserve"> Previously supported capital purchases funded under prior RFP cycles will be reviewed and considered.</w:t>
      </w:r>
    </w:p>
    <w:p w:rsidRPr="00660402" w:rsidR="009406A7" w:rsidP="009406A7" w:rsidRDefault="009406A7" w14:paraId="1E480FB5" w14:textId="77777777">
      <w:pPr>
        <w:pStyle w:val="Level1"/>
        <w:numPr>
          <w:ilvl w:val="0"/>
          <w:numId w:val="6"/>
        </w:numPr>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02B93" w:themeColor="accent5"/>
        </w:rPr>
      </w:pPr>
      <w:r w:rsidRPr="00660402">
        <w:rPr>
          <w:b/>
          <w:color w:val="A02B93" w:themeColor="accent5"/>
        </w:rPr>
        <w:t xml:space="preserve">Travel: </w:t>
      </w:r>
      <w:r w:rsidRPr="00660402">
        <w:rPr>
          <w:color w:val="A02B93" w:themeColor="accent5"/>
        </w:rPr>
        <w:t>Please provide a justification for the amount of travel funds requested, including event dates and location, number of travelers, mileage, etc., to the best of your ability. Mileage expenses are limited to federal per diem and mileage rates.</w:t>
      </w:r>
    </w:p>
    <w:p w:rsidRPr="00D5475B" w:rsidR="009406A7" w:rsidP="009406A7" w:rsidRDefault="1272606C" w14:paraId="4D8F4781" w14:textId="77777777">
      <w:pPr>
        <w:pStyle w:val="Level1"/>
        <w:numPr>
          <w:ilvl w:val="0"/>
          <w:numId w:val="6"/>
        </w:numPr>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02B93" w:themeColor="accent5"/>
        </w:rPr>
      </w:pPr>
      <w:r w:rsidRPr="00D5475B">
        <w:rPr>
          <w:b/>
          <w:bCs/>
          <w:color w:val="A02B93" w:themeColor="accent5"/>
        </w:rPr>
        <w:t>Equipment:</w:t>
      </w:r>
      <w:r w:rsidRPr="00D5475B">
        <w:rPr>
          <w:color w:val="A02B93" w:themeColor="accent5"/>
        </w:rPr>
        <w:t xml:space="preserve"> Equipment (costing $5,000 or greater) is not an eligible cost under this funding opportunity.</w:t>
      </w:r>
    </w:p>
    <w:p w:rsidR="1F330B07" w:rsidP="7F28A140" w:rsidRDefault="1F330B07" w14:paraId="444BF04D" w14:textId="62EF8A51">
      <w:pPr>
        <w:pStyle w:val="Level1"/>
        <w:numPr>
          <w:ilvl w:val="0"/>
          <w:numId w:val="6"/>
        </w:num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D13438"/>
          <w:u w:val="single"/>
        </w:rPr>
      </w:pPr>
      <w:r w:rsidRPr="00D5475B">
        <w:rPr>
          <w:b/>
          <w:bCs/>
          <w:color w:val="A02B93" w:themeColor="accent5"/>
        </w:rPr>
        <w:t xml:space="preserve">Outreach </w:t>
      </w:r>
      <w:r w:rsidRPr="7F28A140">
        <w:rPr>
          <w:b/>
          <w:bCs/>
          <w:color w:val="9F2B92"/>
        </w:rPr>
        <w:t>supplies</w:t>
      </w:r>
      <w:r w:rsidRPr="7F28A140">
        <w:rPr>
          <w:color w:val="9F2B92"/>
        </w:rPr>
        <w:t xml:space="preserve">: </w:t>
      </w:r>
      <w:r w:rsidRPr="7F28A140" w:rsidR="4F9D86D5">
        <w:rPr>
          <w:color w:val="9F2B92"/>
        </w:rPr>
        <w:t>Expenses towards outreach</w:t>
      </w:r>
      <w:r w:rsidRPr="7F28A140" w:rsidR="1D593DDE">
        <w:rPr>
          <w:color w:val="9F2B92"/>
        </w:rPr>
        <w:t xml:space="preserve"> are limited to </w:t>
      </w:r>
      <w:r w:rsidRPr="7F28A140" w:rsidR="5BAA3C0F">
        <w:rPr>
          <w:color w:val="A02B93" w:themeColor="accent5"/>
        </w:rPr>
        <w:t>10</w:t>
      </w:r>
      <w:r w:rsidRPr="7F28A140" w:rsidR="1D593DDE">
        <w:rPr>
          <w:color w:val="A02B93" w:themeColor="accent5"/>
        </w:rPr>
        <w:t>%</w:t>
      </w:r>
      <w:r w:rsidRPr="7F28A140" w:rsidR="41A97446">
        <w:rPr>
          <w:color w:val="A02B93" w:themeColor="accent5"/>
        </w:rPr>
        <w:t xml:space="preserve"> or $1,000</w:t>
      </w:r>
      <w:r w:rsidRPr="7F28A140" w:rsidR="1D593DDE">
        <w:rPr>
          <w:color w:val="9F2B92"/>
        </w:rPr>
        <w:t xml:space="preserve"> of the proposal budget. This includes expenses for </w:t>
      </w:r>
      <w:r w:rsidRPr="7F28A140" w:rsidR="259159A8">
        <w:rPr>
          <w:color w:val="9F2B92"/>
        </w:rPr>
        <w:t xml:space="preserve">materials such as signage, </w:t>
      </w:r>
      <w:r w:rsidRPr="7F28A140" w:rsidR="5FC6BADB">
        <w:rPr>
          <w:color w:val="9F2B92"/>
        </w:rPr>
        <w:t xml:space="preserve">printouts, or other materials used for public outreach and education on </w:t>
      </w:r>
      <w:r w:rsidRPr="7F28A140" w:rsidR="5FC6BADB">
        <w:rPr>
          <w:i/>
          <w:iCs/>
          <w:color w:val="9F2B92"/>
        </w:rPr>
        <w:t>Phragmites</w:t>
      </w:r>
      <w:r w:rsidRPr="7F28A140" w:rsidR="5FC6BADB">
        <w:rPr>
          <w:color w:val="9F2B92"/>
        </w:rPr>
        <w:t xml:space="preserve"> management.</w:t>
      </w:r>
      <w:r w:rsidRPr="7F28A140" w:rsidR="29E0A101">
        <w:rPr>
          <w:color w:val="9F2B92"/>
        </w:rPr>
        <w:t xml:space="preserve"> </w:t>
      </w:r>
      <w:r w:rsidRPr="00D5475B" w:rsidR="2D39CFCB">
        <w:rPr>
          <w:color w:val="A02B93" w:themeColor="accent5"/>
          <w:u w:val="single"/>
        </w:rPr>
        <w:t>All outreach materials are subject to review prior to approval.</w:t>
      </w:r>
    </w:p>
    <w:p w:rsidRPr="00660402" w:rsidR="009406A7" w:rsidP="009406A7" w:rsidRDefault="009406A7" w14:paraId="0CB70BEA" w14:textId="77777777">
      <w:pPr>
        <w:pStyle w:val="Level1"/>
        <w:tabs>
          <w:tab w:val="left" w:pos="-1200"/>
          <w:tab w:val="left" w:pos="-720"/>
          <w:tab w:val="left" w:pos="19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p>
    <w:p w:rsidRPr="00660402" w:rsidR="009406A7" w:rsidP="009406A7" w:rsidRDefault="009406A7" w14:paraId="6550C0A2" w14:textId="77777777">
      <w:pPr>
        <w:pStyle w:val="Level1"/>
        <w:tabs>
          <w:tab w:val="left" w:pos="-1200"/>
          <w:tab w:val="left" w:pos="-720"/>
          <w:tab w:val="left" w:pos="19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0660402">
        <w:rPr>
          <w:color w:val="A02B93" w:themeColor="accent5"/>
        </w:rPr>
        <w:t>Note that once a grant award is made, any unspent funds that may remain at the end of the grant period will not be reimbursed and must be returned to the GLC. Further, once an award is made, any budget change greater than $1,000 per line item or 15 percent overall will require prior and written approval by the GLC.</w:t>
      </w:r>
    </w:p>
    <w:p w:rsidR="0057366F" w:rsidRDefault="0057366F" w14:paraId="4009FD8F" w14:textId="77777777"/>
    <w:p w:rsidR="00C1710E" w:rsidRDefault="00C1710E" w14:paraId="21FDBF3F" w14:textId="77777777"/>
    <w:p w:rsidR="00C1710E" w:rsidRDefault="00C1710E" w14:paraId="45792CE7" w14:textId="77777777"/>
    <w:p w:rsidR="00C1710E" w:rsidRDefault="00C1710E" w14:paraId="5B69F9E4" w14:textId="77777777"/>
    <w:p w:rsidR="00C1710E" w:rsidRDefault="00C1710E" w14:paraId="41355746" w14:textId="77777777"/>
    <w:p w:rsidRPr="00660402" w:rsidR="00C1710E" w:rsidRDefault="00C1710E" w14:paraId="6727CC45" w14:textId="77777777"/>
    <w:tbl>
      <w:tblPr>
        <w:tblW w:w="5267" w:type="pct"/>
        <w:tblLayout w:type="fixed"/>
        <w:tblLook w:val="04A0" w:firstRow="1" w:lastRow="0" w:firstColumn="1" w:lastColumn="0" w:noHBand="0" w:noVBand="1"/>
      </w:tblPr>
      <w:tblGrid>
        <w:gridCol w:w="8259"/>
        <w:gridCol w:w="1506"/>
      </w:tblGrid>
      <w:tr w:rsidRPr="00660402" w:rsidR="0057366F" w:rsidTr="00F06B8A" w14:paraId="463199F8" w14:textId="77777777">
        <w:trPr>
          <w:cantSplit/>
        </w:trPr>
        <w:tc>
          <w:tcPr>
            <w:tcW w:w="4229" w:type="pct"/>
            <w:tcBorders>
              <w:top w:val="single" w:color="auto" w:sz="12" w:space="0"/>
              <w:left w:val="thinThickSmallGap" w:color="auto" w:sz="24" w:space="0"/>
              <w:bottom w:val="single" w:color="auto" w:sz="12" w:space="0"/>
              <w:right w:val="single" w:color="auto" w:sz="12" w:space="0"/>
            </w:tcBorders>
            <w:shd w:val="clear" w:color="auto" w:fill="D9D9D9"/>
            <w:vAlign w:val="center"/>
          </w:tcPr>
          <w:p w:rsidRPr="00660402" w:rsidR="0057366F" w:rsidP="00095C6F" w:rsidRDefault="0057366F" w14:paraId="3918881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center"/>
              <w:rPr>
                <w:b/>
                <w:bCs/>
              </w:rPr>
            </w:pPr>
            <w:r w:rsidRPr="00660402">
              <w:rPr>
                <w:b/>
                <w:bCs/>
              </w:rPr>
              <w:t>BUDGET CATEGORIES</w:t>
            </w:r>
          </w:p>
        </w:tc>
        <w:tc>
          <w:tcPr>
            <w:tcW w:w="771" w:type="pct"/>
            <w:tcBorders>
              <w:top w:val="single" w:color="auto" w:sz="12" w:space="0"/>
              <w:left w:val="nil"/>
              <w:bottom w:val="single" w:color="auto" w:sz="12" w:space="0"/>
              <w:right w:val="thickThinSmallGap" w:color="auto" w:sz="24" w:space="0"/>
            </w:tcBorders>
            <w:shd w:val="clear" w:color="auto" w:fill="D9D9D9"/>
            <w:vAlign w:val="center"/>
          </w:tcPr>
          <w:p w:rsidRPr="00660402" w:rsidR="0057366F" w:rsidP="00095C6F" w:rsidRDefault="0057366F" w14:paraId="7D29C32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center"/>
              <w:rPr>
                <w:b/>
                <w:bCs/>
              </w:rPr>
            </w:pPr>
            <w:r w:rsidRPr="00660402">
              <w:rPr>
                <w:b/>
                <w:bCs/>
              </w:rPr>
              <w:t>AMOUNT</w:t>
            </w:r>
          </w:p>
        </w:tc>
      </w:tr>
      <w:tr w:rsidRPr="00660402" w:rsidR="0057366F" w:rsidTr="00F06B8A" w14:paraId="70559F3F" w14:textId="77777777">
        <w:trPr>
          <w:cantSplit/>
        </w:trPr>
        <w:tc>
          <w:tcPr>
            <w:tcW w:w="4229" w:type="pct"/>
            <w:tcBorders>
              <w:top w:val="single" w:color="auto" w:sz="12" w:space="0"/>
              <w:left w:val="thinThickSmallGap" w:color="auto" w:sz="24" w:space="0"/>
              <w:bottom w:val="single" w:color="auto" w:sz="4" w:space="0"/>
              <w:right w:val="single" w:color="auto" w:sz="12" w:space="0"/>
            </w:tcBorders>
            <w:shd w:val="clear" w:color="auto" w:fill="D9D9D9"/>
            <w:noWrap/>
            <w:vAlign w:val="center"/>
          </w:tcPr>
          <w:p w:rsidRPr="00660402" w:rsidR="0057366F" w:rsidP="0057366F" w:rsidRDefault="0057366F" w14:paraId="77ECAC69" w14:textId="77777777">
            <w:pPr>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left"/>
              <w:rPr>
                <w:b/>
              </w:rPr>
            </w:pPr>
            <w:r w:rsidRPr="00660402">
              <w:rPr>
                <w:b/>
              </w:rPr>
              <w:t xml:space="preserve">PERSONNEL SALARIES: </w:t>
            </w:r>
            <w:r w:rsidRPr="00660402">
              <w:t>(Include name, title, hours, and hourly rate)</w:t>
            </w:r>
          </w:p>
        </w:tc>
        <w:tc>
          <w:tcPr>
            <w:tcW w:w="771" w:type="pct"/>
            <w:tcBorders>
              <w:top w:val="single" w:color="auto" w:sz="12" w:space="0"/>
              <w:left w:val="nil"/>
              <w:bottom w:val="single" w:color="auto" w:sz="4" w:space="0"/>
              <w:right w:val="thickThinSmallGap" w:color="auto" w:sz="24" w:space="0"/>
            </w:tcBorders>
            <w:shd w:val="clear" w:color="auto" w:fill="D9D9D9"/>
            <w:noWrap/>
            <w:vAlign w:val="center"/>
          </w:tcPr>
          <w:p w:rsidRPr="00660402" w:rsidR="0057366F" w:rsidP="00095C6F" w:rsidRDefault="0057366F" w14:paraId="4D9F38DF"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r w:rsidRPr="00660402">
              <w:t> </w:t>
            </w:r>
          </w:p>
        </w:tc>
      </w:tr>
      <w:tr w:rsidRPr="00660402" w:rsidR="0057366F" w:rsidTr="00F06B8A" w14:paraId="53A16216" w14:textId="77777777">
        <w:trPr>
          <w:cantSplit/>
        </w:trPr>
        <w:tc>
          <w:tcPr>
            <w:tcW w:w="4229" w:type="pct"/>
            <w:tcBorders>
              <w:top w:val="nil"/>
              <w:left w:val="thinThickSmallGap" w:color="auto" w:sz="24" w:space="0"/>
              <w:bottom w:val="single" w:color="auto" w:sz="4" w:space="0"/>
              <w:right w:val="single" w:color="auto" w:sz="12" w:space="0"/>
            </w:tcBorders>
            <w:vAlign w:val="center"/>
          </w:tcPr>
          <w:p w:rsidRPr="00660402" w:rsidR="0057366F" w:rsidP="00095C6F" w:rsidRDefault="0057366F" w14:paraId="1FCB24B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left"/>
              <w:rPr>
                <w:i/>
              </w:rPr>
            </w:pPr>
          </w:p>
        </w:tc>
        <w:tc>
          <w:tcPr>
            <w:tcW w:w="771" w:type="pct"/>
            <w:tcBorders>
              <w:top w:val="nil"/>
              <w:left w:val="nil"/>
              <w:bottom w:val="single" w:color="auto" w:sz="4" w:space="0"/>
              <w:right w:val="thickThinSmallGap" w:color="auto" w:sz="24" w:space="0"/>
            </w:tcBorders>
            <w:noWrap/>
            <w:vAlign w:val="center"/>
          </w:tcPr>
          <w:p w:rsidRPr="00660402" w:rsidR="0057366F" w:rsidP="00095C6F" w:rsidRDefault="0057366F" w14:paraId="4F4CE2B0"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58BC2D37" w14:textId="77777777">
        <w:trPr>
          <w:cantSplit/>
        </w:trPr>
        <w:tc>
          <w:tcPr>
            <w:tcW w:w="4229" w:type="pct"/>
            <w:tcBorders>
              <w:top w:val="nil"/>
              <w:left w:val="thinThickSmallGap" w:color="auto" w:sz="24" w:space="0"/>
              <w:bottom w:val="single" w:color="auto" w:sz="4" w:space="0"/>
              <w:right w:val="single" w:color="auto" w:sz="12" w:space="0"/>
            </w:tcBorders>
            <w:vAlign w:val="center"/>
          </w:tcPr>
          <w:p w:rsidRPr="00660402" w:rsidR="0057366F" w:rsidP="00095C6F" w:rsidRDefault="0057366F" w14:paraId="713CD243"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left"/>
              <w:rPr>
                <w:i/>
              </w:rPr>
            </w:pPr>
          </w:p>
        </w:tc>
        <w:tc>
          <w:tcPr>
            <w:tcW w:w="771" w:type="pct"/>
            <w:tcBorders>
              <w:top w:val="nil"/>
              <w:left w:val="nil"/>
              <w:bottom w:val="single" w:color="auto" w:sz="4" w:space="0"/>
              <w:right w:val="thickThinSmallGap" w:color="auto" w:sz="24" w:space="0"/>
            </w:tcBorders>
            <w:noWrap/>
            <w:vAlign w:val="center"/>
          </w:tcPr>
          <w:p w:rsidRPr="00660402" w:rsidR="0057366F" w:rsidP="00095C6F" w:rsidRDefault="0057366F" w14:paraId="455B403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5984442E" w14:textId="77777777">
        <w:trPr>
          <w:cantSplit/>
        </w:trPr>
        <w:tc>
          <w:tcPr>
            <w:tcW w:w="4229" w:type="pct"/>
            <w:tcBorders>
              <w:top w:val="nil"/>
              <w:left w:val="thinThickSmallGap" w:color="auto" w:sz="24" w:space="0"/>
              <w:bottom w:val="single" w:color="auto" w:sz="2" w:space="0"/>
              <w:right w:val="single" w:color="auto" w:sz="12" w:space="0"/>
            </w:tcBorders>
            <w:vAlign w:val="center"/>
          </w:tcPr>
          <w:p w:rsidRPr="00660402" w:rsidR="0057366F" w:rsidP="00095C6F" w:rsidRDefault="0057366F" w14:paraId="461F74A4"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left"/>
              <w:rPr>
                <w:i/>
              </w:rPr>
            </w:pPr>
          </w:p>
        </w:tc>
        <w:tc>
          <w:tcPr>
            <w:tcW w:w="771" w:type="pct"/>
            <w:tcBorders>
              <w:top w:val="nil"/>
              <w:left w:val="nil"/>
              <w:bottom w:val="single" w:color="auto" w:sz="2" w:space="0"/>
              <w:right w:val="thickThinSmallGap" w:color="auto" w:sz="24" w:space="0"/>
            </w:tcBorders>
            <w:noWrap/>
            <w:vAlign w:val="center"/>
          </w:tcPr>
          <w:p w:rsidRPr="00660402" w:rsidR="0057366F" w:rsidP="00095C6F" w:rsidRDefault="0057366F" w14:paraId="3FCA935E"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4C6CF3A6" w14:textId="77777777">
        <w:trPr>
          <w:cantSplit/>
        </w:trPr>
        <w:tc>
          <w:tcPr>
            <w:tcW w:w="4229" w:type="pct"/>
            <w:tcBorders>
              <w:top w:val="single" w:color="auto" w:sz="2" w:space="0"/>
              <w:left w:val="thinThickSmallGap" w:color="auto" w:sz="24" w:space="0"/>
              <w:bottom w:val="single" w:color="auto" w:sz="12" w:space="0"/>
              <w:right w:val="single" w:color="auto" w:sz="12" w:space="0"/>
            </w:tcBorders>
            <w:noWrap/>
            <w:vAlign w:val="center"/>
          </w:tcPr>
          <w:p w:rsidRPr="00660402" w:rsidR="0057366F" w:rsidP="00095C6F" w:rsidRDefault="0057366F" w14:paraId="42387A0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ind w:left="720"/>
              <w:jc w:val="left"/>
              <w:rPr>
                <w:b/>
                <w:bCs/>
              </w:rPr>
            </w:pPr>
            <w:r w:rsidRPr="00660402">
              <w:rPr>
                <w:b/>
                <w:bCs/>
              </w:rPr>
              <w:t>Subtotal:</w:t>
            </w:r>
          </w:p>
        </w:tc>
        <w:tc>
          <w:tcPr>
            <w:tcW w:w="771" w:type="pct"/>
            <w:tcBorders>
              <w:top w:val="single" w:color="auto" w:sz="2" w:space="0"/>
              <w:left w:val="nil"/>
              <w:bottom w:val="single" w:color="auto" w:sz="12" w:space="0"/>
              <w:right w:val="thickThinSmallGap" w:color="auto" w:sz="24" w:space="0"/>
            </w:tcBorders>
            <w:noWrap/>
            <w:vAlign w:val="center"/>
          </w:tcPr>
          <w:p w:rsidRPr="00660402" w:rsidR="0057366F" w:rsidP="00095C6F" w:rsidRDefault="0057366F" w14:paraId="0BAECFF7"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1085B030" w14:textId="77777777">
        <w:trPr>
          <w:cantSplit/>
        </w:trPr>
        <w:tc>
          <w:tcPr>
            <w:tcW w:w="4229" w:type="pct"/>
            <w:tcBorders>
              <w:top w:val="single" w:color="auto" w:sz="12" w:space="0"/>
              <w:left w:val="thinThickSmallGap" w:color="auto" w:sz="24" w:space="0"/>
              <w:bottom w:val="single" w:color="auto" w:sz="4" w:space="0"/>
              <w:right w:val="single" w:color="auto" w:sz="12" w:space="0"/>
            </w:tcBorders>
            <w:shd w:val="clear" w:color="auto" w:fill="D9D9D9"/>
            <w:noWrap/>
            <w:vAlign w:val="center"/>
          </w:tcPr>
          <w:p w:rsidRPr="00660402" w:rsidR="0057366F" w:rsidP="0057366F" w:rsidRDefault="0057366F" w14:paraId="0ACBF4A2" w14:textId="77777777">
            <w:pPr>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left"/>
            </w:pPr>
            <w:r w:rsidRPr="00660402">
              <w:rPr>
                <w:b/>
              </w:rPr>
              <w:t>FRINGE BENEFITS:</w:t>
            </w:r>
            <w:r w:rsidRPr="00660402">
              <w:t xml:space="preserve"> </w:t>
            </w:r>
          </w:p>
        </w:tc>
        <w:tc>
          <w:tcPr>
            <w:tcW w:w="771" w:type="pct"/>
            <w:tcBorders>
              <w:top w:val="single" w:color="auto" w:sz="12" w:space="0"/>
              <w:left w:val="nil"/>
              <w:bottom w:val="single" w:color="auto" w:sz="4" w:space="0"/>
              <w:right w:val="thickThinSmallGap" w:color="auto" w:sz="24" w:space="0"/>
            </w:tcBorders>
            <w:shd w:val="clear" w:color="auto" w:fill="D9D9D9"/>
            <w:noWrap/>
            <w:vAlign w:val="center"/>
          </w:tcPr>
          <w:p w:rsidRPr="00660402" w:rsidR="0057366F" w:rsidP="00095C6F" w:rsidRDefault="0057366F" w14:paraId="4D74AFB6"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1E808AE3" w14:textId="77777777">
        <w:trPr>
          <w:cantSplit/>
        </w:trPr>
        <w:tc>
          <w:tcPr>
            <w:tcW w:w="4229" w:type="pct"/>
            <w:tcBorders>
              <w:top w:val="nil"/>
              <w:left w:val="thinThickSmallGap" w:color="auto" w:sz="24" w:space="0"/>
              <w:bottom w:val="single" w:color="auto" w:sz="4" w:space="0"/>
              <w:right w:val="single" w:color="auto" w:sz="12" w:space="0"/>
            </w:tcBorders>
            <w:noWrap/>
            <w:vAlign w:val="center"/>
          </w:tcPr>
          <w:p w:rsidRPr="00660402" w:rsidR="0057366F" w:rsidP="00095C6F" w:rsidRDefault="0057366F" w14:paraId="73C4D77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left"/>
              <w:rPr>
                <w:i/>
              </w:rPr>
            </w:pPr>
          </w:p>
        </w:tc>
        <w:tc>
          <w:tcPr>
            <w:tcW w:w="771" w:type="pct"/>
            <w:tcBorders>
              <w:top w:val="nil"/>
              <w:left w:val="nil"/>
              <w:bottom w:val="single" w:color="auto" w:sz="4" w:space="0"/>
              <w:right w:val="thickThinSmallGap" w:color="auto" w:sz="24" w:space="0"/>
            </w:tcBorders>
            <w:noWrap/>
            <w:vAlign w:val="center"/>
          </w:tcPr>
          <w:p w:rsidRPr="00660402" w:rsidR="0057366F" w:rsidP="00095C6F" w:rsidRDefault="0057366F" w14:paraId="618AA24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5591CC75" w14:textId="77777777">
        <w:trPr>
          <w:cantSplit/>
        </w:trPr>
        <w:tc>
          <w:tcPr>
            <w:tcW w:w="4229" w:type="pct"/>
            <w:tcBorders>
              <w:top w:val="single" w:color="auto" w:sz="2" w:space="0"/>
              <w:left w:val="thinThickSmallGap" w:color="auto" w:sz="24" w:space="0"/>
              <w:bottom w:val="single" w:color="auto" w:sz="12" w:space="0"/>
              <w:right w:val="single" w:color="auto" w:sz="12" w:space="0"/>
            </w:tcBorders>
            <w:noWrap/>
            <w:vAlign w:val="center"/>
          </w:tcPr>
          <w:p w:rsidRPr="00660402" w:rsidR="0057366F" w:rsidP="00095C6F" w:rsidRDefault="0057366F" w14:paraId="445CDB11"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ind w:left="720"/>
              <w:jc w:val="left"/>
              <w:rPr>
                <w:b/>
                <w:bCs/>
              </w:rPr>
            </w:pPr>
            <w:r w:rsidRPr="00660402">
              <w:rPr>
                <w:b/>
                <w:bCs/>
              </w:rPr>
              <w:t>Subtotal:</w:t>
            </w:r>
          </w:p>
        </w:tc>
        <w:tc>
          <w:tcPr>
            <w:tcW w:w="771" w:type="pct"/>
            <w:tcBorders>
              <w:top w:val="single" w:color="auto" w:sz="2" w:space="0"/>
              <w:left w:val="nil"/>
              <w:bottom w:val="single" w:color="auto" w:sz="12" w:space="0"/>
              <w:right w:val="thickThinSmallGap" w:color="auto" w:sz="24" w:space="0"/>
            </w:tcBorders>
            <w:noWrap/>
            <w:vAlign w:val="center"/>
          </w:tcPr>
          <w:p w:rsidRPr="00660402" w:rsidR="0057366F" w:rsidP="00095C6F" w:rsidRDefault="0057366F" w14:paraId="394CE249"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682AA0B6" w14:textId="77777777">
        <w:trPr>
          <w:cantSplit/>
        </w:trPr>
        <w:tc>
          <w:tcPr>
            <w:tcW w:w="4229" w:type="pct"/>
            <w:tcBorders>
              <w:top w:val="single" w:color="auto" w:sz="12" w:space="0"/>
              <w:left w:val="thinThickSmallGap" w:color="auto" w:sz="24" w:space="0"/>
              <w:bottom w:val="single" w:color="auto" w:sz="2" w:space="0"/>
              <w:right w:val="single" w:color="auto" w:sz="12" w:space="0"/>
            </w:tcBorders>
            <w:shd w:val="clear" w:color="auto" w:fill="D9D9D9"/>
            <w:vAlign w:val="center"/>
          </w:tcPr>
          <w:p w:rsidRPr="00660402" w:rsidR="0057366F" w:rsidP="0057366F" w:rsidRDefault="0057366F" w14:paraId="555D7859" w14:textId="77777777">
            <w:pPr>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left"/>
            </w:pPr>
            <w:r w:rsidRPr="00660402">
              <w:rPr>
                <w:b/>
              </w:rPr>
              <w:t>INDIRECT COSTS:</w:t>
            </w:r>
            <w:r w:rsidRPr="00660402">
              <w:t xml:space="preserve"> (Indicate rate calculation; maximum rate is 25% of salaries and benefits)</w:t>
            </w:r>
          </w:p>
        </w:tc>
        <w:tc>
          <w:tcPr>
            <w:tcW w:w="771" w:type="pct"/>
            <w:tcBorders>
              <w:top w:val="single" w:color="auto" w:sz="12" w:space="0"/>
              <w:left w:val="single" w:color="auto" w:sz="12" w:space="0"/>
              <w:bottom w:val="single" w:color="auto" w:sz="2" w:space="0"/>
              <w:right w:val="thickThinSmallGap" w:color="auto" w:sz="24" w:space="0"/>
            </w:tcBorders>
            <w:shd w:val="clear" w:color="auto" w:fill="D9D9D9"/>
            <w:noWrap/>
            <w:vAlign w:val="center"/>
          </w:tcPr>
          <w:p w:rsidRPr="00660402" w:rsidR="0057366F" w:rsidP="00095C6F" w:rsidRDefault="0057366F" w14:paraId="7DDED1FC"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13D40DDA" w14:textId="77777777">
        <w:trPr>
          <w:cantSplit/>
        </w:trPr>
        <w:tc>
          <w:tcPr>
            <w:tcW w:w="4229" w:type="pct"/>
            <w:tcBorders>
              <w:top w:val="single" w:color="auto" w:sz="2" w:space="0"/>
              <w:left w:val="thinThickSmallGap" w:color="auto" w:sz="24" w:space="0"/>
              <w:bottom w:val="single" w:color="auto" w:sz="12" w:space="0"/>
              <w:right w:val="single" w:color="auto" w:sz="12" w:space="0"/>
            </w:tcBorders>
            <w:noWrap/>
            <w:vAlign w:val="center"/>
          </w:tcPr>
          <w:p w:rsidRPr="00660402" w:rsidR="0057366F" w:rsidP="00095C6F" w:rsidRDefault="0057366F" w14:paraId="4664632C"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ind w:left="720"/>
              <w:jc w:val="left"/>
              <w:rPr>
                <w:b/>
                <w:bCs/>
              </w:rPr>
            </w:pPr>
            <w:r w:rsidRPr="00660402">
              <w:rPr>
                <w:b/>
                <w:bCs/>
              </w:rPr>
              <w:t>Subtotal:</w:t>
            </w:r>
          </w:p>
        </w:tc>
        <w:tc>
          <w:tcPr>
            <w:tcW w:w="771" w:type="pct"/>
            <w:tcBorders>
              <w:top w:val="single" w:color="auto" w:sz="2" w:space="0"/>
              <w:left w:val="single" w:color="auto" w:sz="12" w:space="0"/>
              <w:bottom w:val="single" w:color="auto" w:sz="12" w:space="0"/>
              <w:right w:val="thickThinSmallGap" w:color="auto" w:sz="24" w:space="0"/>
            </w:tcBorders>
            <w:noWrap/>
            <w:vAlign w:val="center"/>
          </w:tcPr>
          <w:p w:rsidRPr="00660402" w:rsidR="0057366F" w:rsidP="00095C6F" w:rsidRDefault="0057366F" w14:paraId="143D6EE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4067ECD9" w14:textId="77777777">
        <w:trPr>
          <w:cantSplit/>
        </w:trPr>
        <w:tc>
          <w:tcPr>
            <w:tcW w:w="4229" w:type="pct"/>
            <w:tcBorders>
              <w:top w:val="single" w:color="auto" w:sz="12" w:space="0"/>
              <w:left w:val="thinThickSmallGap" w:color="auto" w:sz="24" w:space="0"/>
              <w:bottom w:val="single" w:color="auto" w:sz="12" w:space="0"/>
              <w:right w:val="single" w:color="auto" w:sz="12" w:space="0"/>
            </w:tcBorders>
            <w:shd w:val="clear" w:color="auto" w:fill="D9D9D9"/>
            <w:noWrap/>
            <w:vAlign w:val="center"/>
          </w:tcPr>
          <w:p w:rsidRPr="00660402" w:rsidR="0057366F" w:rsidP="0057366F" w:rsidRDefault="0057366F" w14:paraId="492422AF" w14:textId="77777777">
            <w:pPr>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left"/>
              <w:rPr>
                <w:b/>
              </w:rPr>
            </w:pPr>
            <w:r w:rsidRPr="00660402">
              <w:rPr>
                <w:b/>
              </w:rPr>
              <w:t>DIRECT COSTS:</w:t>
            </w:r>
            <w:r w:rsidRPr="00660402">
              <w:rPr>
                <w:bCs/>
              </w:rPr>
              <w:t xml:space="preserve"> (Supplies)</w:t>
            </w:r>
          </w:p>
        </w:tc>
        <w:tc>
          <w:tcPr>
            <w:tcW w:w="771" w:type="pct"/>
            <w:tcBorders>
              <w:top w:val="single" w:color="auto" w:sz="12" w:space="0"/>
              <w:left w:val="nil"/>
              <w:bottom w:val="single" w:color="auto" w:sz="12" w:space="0"/>
              <w:right w:val="thickThinSmallGap" w:color="auto" w:sz="24" w:space="0"/>
            </w:tcBorders>
            <w:shd w:val="clear" w:color="auto" w:fill="D9D9D9"/>
            <w:noWrap/>
            <w:vAlign w:val="center"/>
          </w:tcPr>
          <w:p w:rsidRPr="00660402" w:rsidR="0057366F" w:rsidP="00095C6F" w:rsidRDefault="0057366F" w14:paraId="0A538026"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6AC89AA2" w14:textId="77777777">
        <w:trPr>
          <w:cantSplit/>
        </w:trPr>
        <w:tc>
          <w:tcPr>
            <w:tcW w:w="4229" w:type="pct"/>
            <w:tcBorders>
              <w:top w:val="single" w:color="auto" w:sz="12" w:space="0"/>
              <w:left w:val="thinThickSmallGap" w:color="auto" w:sz="24" w:space="0"/>
              <w:bottom w:val="single" w:color="000000" w:sz="4" w:space="0"/>
              <w:right w:val="single" w:color="auto" w:sz="12" w:space="0"/>
            </w:tcBorders>
            <w:noWrap/>
            <w:vAlign w:val="center"/>
          </w:tcPr>
          <w:p w:rsidRPr="00660402" w:rsidR="0057366F" w:rsidP="00095C6F" w:rsidRDefault="0057366F" w14:paraId="6DF61FC4"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left"/>
              <w:rPr>
                <w:b/>
              </w:rPr>
            </w:pPr>
          </w:p>
        </w:tc>
        <w:tc>
          <w:tcPr>
            <w:tcW w:w="771" w:type="pct"/>
            <w:tcBorders>
              <w:top w:val="single" w:color="auto" w:sz="12" w:space="0"/>
              <w:left w:val="nil"/>
              <w:bottom w:val="single" w:color="000000" w:sz="4" w:space="0"/>
              <w:right w:val="thickThinSmallGap" w:color="auto" w:sz="24" w:space="0"/>
            </w:tcBorders>
            <w:noWrap/>
            <w:vAlign w:val="center"/>
          </w:tcPr>
          <w:p w:rsidRPr="00660402" w:rsidR="0057366F" w:rsidP="00095C6F" w:rsidRDefault="0057366F" w14:paraId="162D815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74791C05" w14:textId="77777777">
        <w:trPr>
          <w:cantSplit/>
        </w:trPr>
        <w:tc>
          <w:tcPr>
            <w:tcW w:w="4229" w:type="pct"/>
            <w:tcBorders>
              <w:top w:val="single" w:color="000000" w:sz="4" w:space="0"/>
              <w:left w:val="thinThickSmallGap" w:color="auto" w:sz="24" w:space="0"/>
              <w:bottom w:val="single" w:color="auto" w:sz="4" w:space="0"/>
              <w:right w:val="single" w:color="auto" w:sz="12" w:space="0"/>
            </w:tcBorders>
            <w:noWrap/>
            <w:vAlign w:val="center"/>
          </w:tcPr>
          <w:p w:rsidRPr="00660402" w:rsidR="0057366F" w:rsidP="00095C6F" w:rsidRDefault="0057366F" w14:paraId="2CE12E7E"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ind w:left="720"/>
              <w:jc w:val="left"/>
              <w:rPr>
                <w:b/>
              </w:rPr>
            </w:pPr>
            <w:r w:rsidRPr="00660402">
              <w:rPr>
                <w:b/>
              </w:rPr>
              <w:t>Subtotal:</w:t>
            </w:r>
          </w:p>
        </w:tc>
        <w:tc>
          <w:tcPr>
            <w:tcW w:w="771" w:type="pct"/>
            <w:tcBorders>
              <w:top w:val="single" w:color="000000" w:sz="4" w:space="0"/>
              <w:left w:val="nil"/>
              <w:bottom w:val="single" w:color="auto" w:sz="4" w:space="0"/>
              <w:right w:val="thickThinSmallGap" w:color="auto" w:sz="24" w:space="0"/>
            </w:tcBorders>
            <w:noWrap/>
            <w:vAlign w:val="center"/>
          </w:tcPr>
          <w:p w:rsidRPr="00660402" w:rsidR="0057366F" w:rsidP="00095C6F" w:rsidRDefault="0057366F" w14:paraId="55C15224"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5239C3C4" w14:textId="77777777">
        <w:trPr>
          <w:cantSplit/>
        </w:trPr>
        <w:tc>
          <w:tcPr>
            <w:tcW w:w="4229" w:type="pct"/>
            <w:tcBorders>
              <w:top w:val="single" w:color="auto" w:sz="12" w:space="0"/>
              <w:left w:val="thinThickSmallGap" w:color="auto" w:sz="24" w:space="0"/>
              <w:bottom w:val="single" w:color="auto" w:sz="4" w:space="0"/>
              <w:right w:val="single" w:color="auto" w:sz="12" w:space="0"/>
            </w:tcBorders>
            <w:shd w:val="clear" w:color="auto" w:fill="D9D9D9"/>
            <w:noWrap/>
            <w:vAlign w:val="center"/>
          </w:tcPr>
          <w:p w:rsidRPr="00660402" w:rsidR="0057366F" w:rsidP="0057366F" w:rsidRDefault="0057366F" w14:paraId="6534F010" w14:textId="77777777">
            <w:pPr>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left"/>
              <w:rPr>
                <w:b/>
              </w:rPr>
            </w:pPr>
            <w:r w:rsidRPr="00660402">
              <w:rPr>
                <w:b/>
              </w:rPr>
              <w:lastRenderedPageBreak/>
              <w:t xml:space="preserve">CONTRACTUAL SERVICES: </w:t>
            </w:r>
            <w:r w:rsidRPr="00660402">
              <w:t>(Provide names of contractors and rates)</w:t>
            </w:r>
          </w:p>
        </w:tc>
        <w:tc>
          <w:tcPr>
            <w:tcW w:w="771" w:type="pct"/>
            <w:tcBorders>
              <w:top w:val="single" w:color="auto" w:sz="12" w:space="0"/>
              <w:left w:val="nil"/>
              <w:bottom w:val="single" w:color="auto" w:sz="4" w:space="0"/>
              <w:right w:val="thickThinSmallGap" w:color="auto" w:sz="24" w:space="0"/>
            </w:tcBorders>
            <w:shd w:val="clear" w:color="auto" w:fill="D9D9D9"/>
            <w:noWrap/>
            <w:vAlign w:val="center"/>
          </w:tcPr>
          <w:p w:rsidRPr="00660402" w:rsidR="0057366F" w:rsidP="00095C6F" w:rsidRDefault="0057366F" w14:paraId="3AEA869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694715F3" w14:textId="77777777">
        <w:trPr>
          <w:cantSplit/>
        </w:trPr>
        <w:tc>
          <w:tcPr>
            <w:tcW w:w="4229" w:type="pct"/>
            <w:tcBorders>
              <w:top w:val="nil"/>
              <w:left w:val="thinThickSmallGap" w:color="auto" w:sz="24" w:space="0"/>
              <w:bottom w:val="single" w:color="auto" w:sz="4" w:space="0"/>
              <w:right w:val="single" w:color="auto" w:sz="12" w:space="0"/>
            </w:tcBorders>
            <w:vAlign w:val="center"/>
          </w:tcPr>
          <w:p w:rsidRPr="00660402" w:rsidR="0057366F" w:rsidP="00095C6F" w:rsidRDefault="0057366F" w14:paraId="0D18148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left"/>
              <w:rPr>
                <w:i/>
              </w:rPr>
            </w:pPr>
          </w:p>
        </w:tc>
        <w:tc>
          <w:tcPr>
            <w:tcW w:w="771" w:type="pct"/>
            <w:tcBorders>
              <w:top w:val="nil"/>
              <w:left w:val="nil"/>
              <w:bottom w:val="single" w:color="auto" w:sz="4" w:space="0"/>
              <w:right w:val="thickThinSmallGap" w:color="auto" w:sz="24" w:space="0"/>
            </w:tcBorders>
            <w:noWrap/>
            <w:vAlign w:val="center"/>
          </w:tcPr>
          <w:p w:rsidRPr="00660402" w:rsidR="0057366F" w:rsidP="00095C6F" w:rsidRDefault="0057366F" w14:paraId="6FD8BFE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4122FB77" w14:textId="77777777">
        <w:trPr>
          <w:cantSplit/>
        </w:trPr>
        <w:tc>
          <w:tcPr>
            <w:tcW w:w="4229" w:type="pct"/>
            <w:tcBorders>
              <w:top w:val="single" w:color="auto" w:sz="2" w:space="0"/>
              <w:left w:val="thinThickSmallGap" w:color="auto" w:sz="24" w:space="0"/>
              <w:bottom w:val="single" w:color="auto" w:sz="12" w:space="0"/>
              <w:right w:val="single" w:color="auto" w:sz="12" w:space="0"/>
            </w:tcBorders>
            <w:noWrap/>
            <w:vAlign w:val="center"/>
          </w:tcPr>
          <w:p w:rsidRPr="00660402" w:rsidR="0057366F" w:rsidP="00095C6F" w:rsidRDefault="0057366F" w14:paraId="6721F00E"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ind w:left="720"/>
              <w:jc w:val="left"/>
              <w:rPr>
                <w:b/>
                <w:bCs/>
              </w:rPr>
            </w:pPr>
            <w:r w:rsidRPr="00660402">
              <w:rPr>
                <w:b/>
                <w:bCs/>
              </w:rPr>
              <w:t>Subtotal:</w:t>
            </w:r>
          </w:p>
        </w:tc>
        <w:tc>
          <w:tcPr>
            <w:tcW w:w="771" w:type="pct"/>
            <w:tcBorders>
              <w:top w:val="single" w:color="auto" w:sz="2" w:space="0"/>
              <w:left w:val="nil"/>
              <w:bottom w:val="single" w:color="auto" w:sz="12" w:space="0"/>
              <w:right w:val="thickThinSmallGap" w:color="auto" w:sz="24" w:space="0"/>
            </w:tcBorders>
            <w:noWrap/>
            <w:vAlign w:val="center"/>
          </w:tcPr>
          <w:p w:rsidRPr="00660402" w:rsidR="0057366F" w:rsidP="00095C6F" w:rsidRDefault="0057366F" w14:paraId="1C032EB1"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5EB54231" w14:textId="77777777">
        <w:trPr>
          <w:cantSplit/>
        </w:trPr>
        <w:tc>
          <w:tcPr>
            <w:tcW w:w="4229" w:type="pct"/>
            <w:tcBorders>
              <w:top w:val="single" w:color="auto" w:sz="12" w:space="0"/>
              <w:left w:val="thinThickSmallGap" w:color="auto" w:sz="24" w:space="0"/>
              <w:bottom w:val="single" w:color="auto" w:sz="4" w:space="0"/>
              <w:right w:val="single" w:color="auto" w:sz="12" w:space="0"/>
            </w:tcBorders>
            <w:shd w:val="clear" w:color="auto" w:fill="D9D9D9"/>
            <w:noWrap/>
            <w:vAlign w:val="center"/>
          </w:tcPr>
          <w:p w:rsidRPr="00660402" w:rsidR="0057366F" w:rsidP="0057366F" w:rsidRDefault="0057366F" w14:paraId="7615E2C9" w14:textId="77777777">
            <w:pPr>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left"/>
              <w:rPr>
                <w:b/>
              </w:rPr>
            </w:pPr>
            <w:r w:rsidRPr="00660402">
              <w:rPr>
                <w:b/>
              </w:rPr>
              <w:t xml:space="preserve">OTHER: </w:t>
            </w:r>
            <w:r w:rsidRPr="00660402">
              <w:t>(Itemize; this includes project supplies, etc. in excess of the materials to be provided)</w:t>
            </w:r>
          </w:p>
        </w:tc>
        <w:tc>
          <w:tcPr>
            <w:tcW w:w="771" w:type="pct"/>
            <w:tcBorders>
              <w:top w:val="single" w:color="auto" w:sz="12" w:space="0"/>
              <w:left w:val="nil"/>
              <w:bottom w:val="single" w:color="auto" w:sz="4" w:space="0"/>
              <w:right w:val="thickThinSmallGap" w:color="auto" w:sz="24" w:space="0"/>
            </w:tcBorders>
            <w:shd w:val="clear" w:color="auto" w:fill="D9D9D9"/>
            <w:noWrap/>
            <w:vAlign w:val="center"/>
          </w:tcPr>
          <w:p w:rsidRPr="00660402" w:rsidR="0057366F" w:rsidP="00095C6F" w:rsidRDefault="0057366F" w14:paraId="40AA4210"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15628AFB" w14:textId="77777777">
        <w:trPr>
          <w:cantSplit/>
        </w:trPr>
        <w:tc>
          <w:tcPr>
            <w:tcW w:w="4229" w:type="pct"/>
            <w:tcBorders>
              <w:top w:val="nil"/>
              <w:left w:val="thinThickSmallGap" w:color="auto" w:sz="24" w:space="0"/>
              <w:bottom w:val="single" w:color="auto" w:sz="4" w:space="0"/>
              <w:right w:val="single" w:color="auto" w:sz="12" w:space="0"/>
            </w:tcBorders>
            <w:noWrap/>
            <w:vAlign w:val="center"/>
          </w:tcPr>
          <w:p w:rsidRPr="00660402" w:rsidR="0057366F" w:rsidP="00095C6F" w:rsidRDefault="0057366F" w14:paraId="6AB93E9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left"/>
              <w:rPr>
                <w:i/>
              </w:rPr>
            </w:pPr>
          </w:p>
        </w:tc>
        <w:tc>
          <w:tcPr>
            <w:tcW w:w="771" w:type="pct"/>
            <w:tcBorders>
              <w:top w:val="nil"/>
              <w:left w:val="nil"/>
              <w:bottom w:val="single" w:color="auto" w:sz="4" w:space="0"/>
              <w:right w:val="thickThinSmallGap" w:color="auto" w:sz="24" w:space="0"/>
            </w:tcBorders>
            <w:noWrap/>
            <w:vAlign w:val="center"/>
          </w:tcPr>
          <w:p w:rsidRPr="00660402" w:rsidR="0057366F" w:rsidP="00095C6F" w:rsidRDefault="0057366F" w14:paraId="5FA34387"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015DEB2B" w14:textId="77777777">
        <w:trPr>
          <w:cantSplit/>
        </w:trPr>
        <w:tc>
          <w:tcPr>
            <w:tcW w:w="4229" w:type="pct"/>
            <w:tcBorders>
              <w:top w:val="nil"/>
              <w:left w:val="thinThickSmallGap" w:color="auto" w:sz="24" w:space="0"/>
              <w:bottom w:val="single" w:color="auto" w:sz="4" w:space="0"/>
              <w:right w:val="single" w:color="auto" w:sz="12" w:space="0"/>
            </w:tcBorders>
            <w:noWrap/>
            <w:vAlign w:val="center"/>
          </w:tcPr>
          <w:p w:rsidRPr="00660402" w:rsidR="0057366F" w:rsidP="00095C6F" w:rsidRDefault="0057366F" w14:paraId="007A791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left"/>
              <w:rPr>
                <w:i/>
              </w:rPr>
            </w:pPr>
          </w:p>
        </w:tc>
        <w:tc>
          <w:tcPr>
            <w:tcW w:w="771" w:type="pct"/>
            <w:tcBorders>
              <w:top w:val="nil"/>
              <w:left w:val="nil"/>
              <w:bottom w:val="single" w:color="auto" w:sz="4" w:space="0"/>
              <w:right w:val="thickThinSmallGap" w:color="auto" w:sz="24" w:space="0"/>
            </w:tcBorders>
            <w:noWrap/>
            <w:vAlign w:val="center"/>
          </w:tcPr>
          <w:p w:rsidRPr="00660402" w:rsidR="0057366F" w:rsidP="00095C6F" w:rsidRDefault="0057366F" w14:paraId="7584C3F1"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29C6D9F9" w14:textId="77777777">
        <w:trPr>
          <w:cantSplit/>
        </w:trPr>
        <w:tc>
          <w:tcPr>
            <w:tcW w:w="4229" w:type="pct"/>
            <w:tcBorders>
              <w:top w:val="single" w:color="auto" w:sz="2" w:space="0"/>
              <w:left w:val="thinThickSmallGap" w:color="auto" w:sz="24" w:space="0"/>
              <w:bottom w:val="single" w:color="auto" w:sz="12" w:space="0"/>
              <w:right w:val="single" w:color="auto" w:sz="12" w:space="0"/>
            </w:tcBorders>
            <w:noWrap/>
            <w:vAlign w:val="center"/>
          </w:tcPr>
          <w:p w:rsidRPr="00660402" w:rsidR="0057366F" w:rsidP="00095C6F" w:rsidRDefault="0057366F" w14:paraId="0B137DF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ind w:left="720"/>
              <w:jc w:val="left"/>
              <w:rPr>
                <w:b/>
                <w:bCs/>
              </w:rPr>
            </w:pPr>
            <w:r w:rsidRPr="00660402">
              <w:rPr>
                <w:b/>
                <w:bCs/>
              </w:rPr>
              <w:t>Subtotal:</w:t>
            </w:r>
          </w:p>
        </w:tc>
        <w:tc>
          <w:tcPr>
            <w:tcW w:w="771" w:type="pct"/>
            <w:tcBorders>
              <w:top w:val="single" w:color="auto" w:sz="2" w:space="0"/>
              <w:left w:val="nil"/>
              <w:bottom w:val="single" w:color="auto" w:sz="12" w:space="0"/>
              <w:right w:val="thickThinSmallGap" w:color="auto" w:sz="24" w:space="0"/>
            </w:tcBorders>
            <w:noWrap/>
            <w:vAlign w:val="center"/>
          </w:tcPr>
          <w:p w:rsidRPr="00660402" w:rsidR="0057366F" w:rsidP="00095C6F" w:rsidRDefault="0057366F" w14:paraId="05D3CF5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1EEE44FC" w14:textId="77777777">
        <w:trPr>
          <w:cantSplit/>
        </w:trPr>
        <w:tc>
          <w:tcPr>
            <w:tcW w:w="4229" w:type="pct"/>
            <w:tcBorders>
              <w:top w:val="single" w:color="auto" w:sz="12" w:space="0"/>
              <w:left w:val="thinThickSmallGap" w:color="auto" w:sz="24" w:space="0"/>
              <w:bottom w:val="single" w:color="auto" w:sz="4" w:space="0"/>
              <w:right w:val="single" w:color="auto" w:sz="12" w:space="0"/>
            </w:tcBorders>
            <w:shd w:val="clear" w:color="auto" w:fill="D9D9D9"/>
            <w:noWrap/>
            <w:vAlign w:val="center"/>
          </w:tcPr>
          <w:p w:rsidRPr="00660402" w:rsidR="0057366F" w:rsidP="0057366F" w:rsidRDefault="0057366F" w14:paraId="4CA4E39C" w14:textId="77777777">
            <w:pPr>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left"/>
              <w:rPr>
                <w:b/>
              </w:rPr>
            </w:pPr>
            <w:r w:rsidRPr="00660402">
              <w:rPr>
                <w:b/>
              </w:rPr>
              <w:t>TRAVEL:</w:t>
            </w:r>
          </w:p>
        </w:tc>
        <w:tc>
          <w:tcPr>
            <w:tcW w:w="771" w:type="pct"/>
            <w:tcBorders>
              <w:top w:val="single" w:color="auto" w:sz="12" w:space="0"/>
              <w:left w:val="nil"/>
              <w:bottom w:val="single" w:color="auto" w:sz="4" w:space="0"/>
              <w:right w:val="thickThinSmallGap" w:color="auto" w:sz="24" w:space="0"/>
            </w:tcBorders>
            <w:shd w:val="clear" w:color="auto" w:fill="D9D9D9"/>
            <w:noWrap/>
            <w:vAlign w:val="center"/>
          </w:tcPr>
          <w:p w:rsidRPr="00660402" w:rsidR="0057366F" w:rsidP="00095C6F" w:rsidRDefault="0057366F" w14:paraId="6CBCB811"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114CB48A" w14:textId="77777777">
        <w:trPr>
          <w:cantSplit/>
        </w:trPr>
        <w:tc>
          <w:tcPr>
            <w:tcW w:w="4229" w:type="pct"/>
            <w:tcBorders>
              <w:top w:val="nil"/>
              <w:left w:val="thinThickSmallGap" w:color="auto" w:sz="24" w:space="0"/>
              <w:bottom w:val="single" w:color="auto" w:sz="2" w:space="0"/>
              <w:right w:val="single" w:color="auto" w:sz="12" w:space="0"/>
            </w:tcBorders>
            <w:vAlign w:val="center"/>
          </w:tcPr>
          <w:p w:rsidRPr="00660402" w:rsidR="0057366F" w:rsidP="00095C6F" w:rsidRDefault="0057366F" w14:paraId="35D94519"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left"/>
              <w:rPr>
                <w:i/>
              </w:rPr>
            </w:pPr>
          </w:p>
        </w:tc>
        <w:tc>
          <w:tcPr>
            <w:tcW w:w="771" w:type="pct"/>
            <w:tcBorders>
              <w:top w:val="nil"/>
              <w:left w:val="nil"/>
              <w:bottom w:val="single" w:color="auto" w:sz="2" w:space="0"/>
              <w:right w:val="thickThinSmallGap" w:color="auto" w:sz="24" w:space="0"/>
            </w:tcBorders>
            <w:noWrap/>
            <w:vAlign w:val="center"/>
          </w:tcPr>
          <w:p w:rsidRPr="00660402" w:rsidR="0057366F" w:rsidP="00095C6F" w:rsidRDefault="0057366F" w14:paraId="6B3CA9D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505E8EE4" w14:textId="77777777">
        <w:trPr>
          <w:cantSplit/>
        </w:trPr>
        <w:tc>
          <w:tcPr>
            <w:tcW w:w="4229" w:type="pct"/>
            <w:tcBorders>
              <w:top w:val="single" w:color="auto" w:sz="2" w:space="0"/>
              <w:left w:val="thinThickSmallGap" w:color="auto" w:sz="24" w:space="0"/>
              <w:bottom w:val="double" w:color="auto" w:sz="4" w:space="0"/>
              <w:right w:val="single" w:color="auto" w:sz="12" w:space="0"/>
            </w:tcBorders>
            <w:noWrap/>
            <w:vAlign w:val="center"/>
          </w:tcPr>
          <w:p w:rsidRPr="00660402" w:rsidR="0057366F" w:rsidP="00095C6F" w:rsidRDefault="0057366F" w14:paraId="46B6C95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ind w:left="720"/>
              <w:jc w:val="left"/>
              <w:rPr>
                <w:b/>
                <w:bCs/>
              </w:rPr>
            </w:pPr>
            <w:r w:rsidRPr="00660402">
              <w:rPr>
                <w:b/>
                <w:bCs/>
              </w:rPr>
              <w:t>Subtotal:</w:t>
            </w:r>
          </w:p>
        </w:tc>
        <w:tc>
          <w:tcPr>
            <w:tcW w:w="771" w:type="pct"/>
            <w:tcBorders>
              <w:top w:val="single" w:color="auto" w:sz="2" w:space="0"/>
              <w:left w:val="nil"/>
              <w:bottom w:val="double" w:color="auto" w:sz="4" w:space="0"/>
              <w:right w:val="thickThinSmallGap" w:color="auto" w:sz="24" w:space="0"/>
            </w:tcBorders>
            <w:noWrap/>
            <w:vAlign w:val="center"/>
          </w:tcPr>
          <w:p w:rsidRPr="00660402" w:rsidR="0057366F" w:rsidP="00095C6F" w:rsidRDefault="0057366F" w14:paraId="6D577CE0"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r w:rsidRPr="00660402" w:rsidR="0057366F" w:rsidTr="00F06B8A" w14:paraId="0BF6F1A5" w14:textId="77777777">
        <w:trPr>
          <w:cantSplit/>
        </w:trPr>
        <w:tc>
          <w:tcPr>
            <w:tcW w:w="4229" w:type="pct"/>
            <w:tcBorders>
              <w:top w:val="double" w:color="auto" w:sz="4" w:space="0"/>
              <w:left w:val="thinThickSmallGap" w:color="auto" w:sz="24" w:space="0"/>
              <w:bottom w:val="double" w:color="auto" w:sz="4" w:space="0"/>
              <w:right w:val="single" w:color="auto" w:sz="12" w:space="0"/>
            </w:tcBorders>
            <w:noWrap/>
            <w:vAlign w:val="center"/>
          </w:tcPr>
          <w:p w:rsidRPr="00660402" w:rsidR="0057366F" w:rsidP="00095C6F" w:rsidRDefault="0057366F" w14:paraId="569CA1DC"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left"/>
              <w:rPr>
                <w:b/>
                <w:bCs/>
              </w:rPr>
            </w:pPr>
            <w:r w:rsidRPr="00660402">
              <w:rPr>
                <w:b/>
                <w:bCs/>
              </w:rPr>
              <w:t>TOTAL REQUESTED FUNDS:</w:t>
            </w:r>
          </w:p>
        </w:tc>
        <w:tc>
          <w:tcPr>
            <w:tcW w:w="771" w:type="pct"/>
            <w:tcBorders>
              <w:top w:val="double" w:color="auto" w:sz="4" w:space="0"/>
              <w:left w:val="nil"/>
              <w:bottom w:val="double" w:color="auto" w:sz="4" w:space="0"/>
              <w:right w:val="thickThinSmallGap" w:color="auto" w:sz="24" w:space="0"/>
            </w:tcBorders>
            <w:noWrap/>
            <w:vAlign w:val="center"/>
          </w:tcPr>
          <w:p w:rsidRPr="00660402" w:rsidR="0057366F" w:rsidP="00095C6F" w:rsidRDefault="0057366F" w14:paraId="51FA5760"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60" w:after="60"/>
              <w:jc w:val="right"/>
            </w:pPr>
          </w:p>
        </w:tc>
      </w:tr>
    </w:tbl>
    <w:p w:rsidRPr="00660402" w:rsidR="00B55345" w:rsidRDefault="00B55345" w14:paraId="203875EE" w14:textId="77777777"/>
    <w:p w:rsidRPr="006F2F38" w:rsidR="009406A7" w:rsidRDefault="009406A7" w14:paraId="149B65EF" w14:textId="6ABEA60C">
      <w:pPr>
        <w:rPr>
          <w:b/>
          <w:bCs/>
        </w:rPr>
      </w:pPr>
      <w:r w:rsidRPr="006F2F38">
        <w:rPr>
          <w:b/>
          <w:bCs/>
        </w:rPr>
        <w:t>C. Attachments</w:t>
      </w:r>
    </w:p>
    <w:p w:rsidRPr="00660402" w:rsidR="00865EC7" w:rsidRDefault="00865EC7" w14:paraId="06DE0006" w14:textId="77777777"/>
    <w:p w:rsidRPr="00C1710E" w:rsidR="009406A7" w:rsidP="00C1710E" w:rsidRDefault="006750D7" w14:paraId="0709B18A" w14:textId="1D4EECA2">
      <w:pPr>
        <w:pStyle w:val="Level1"/>
        <w:tabs>
          <w:tab w:val="left" w:pos="-120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A02B93" w:themeColor="accent5"/>
        </w:rPr>
      </w:pPr>
      <w:r w:rsidRPr="00660402">
        <w:rPr>
          <w:color w:val="A02B93" w:themeColor="accent5"/>
        </w:rPr>
        <w:t>Attachments do not count toward the page limit and can include permits, proof of necessary certifications, land use approvals, etc. Letters of support from other local partners are encouraged. Optional supporting documents will only be reviewed as they relate to the contents of the proposal and will not be considered as part of the proposal evaluation.</w:t>
      </w:r>
    </w:p>
    <w:sectPr w:rsidRPr="00C1710E" w:rsidR="009406A7">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E7E" w:rsidP="005C128B" w:rsidRDefault="00754E7E" w14:paraId="3834B01B" w14:textId="77777777">
      <w:r>
        <w:separator/>
      </w:r>
    </w:p>
  </w:endnote>
  <w:endnote w:type="continuationSeparator" w:id="0">
    <w:p w:rsidR="00754E7E" w:rsidP="005C128B" w:rsidRDefault="00754E7E" w14:paraId="483662C1" w14:textId="77777777">
      <w:r>
        <w:continuationSeparator/>
      </w:r>
    </w:p>
  </w:endnote>
  <w:endnote w:type="continuationNotice" w:id="1">
    <w:p w:rsidR="00754E7E" w:rsidRDefault="00754E7E" w14:paraId="2432DF1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709350"/>
      <w:docPartObj>
        <w:docPartGallery w:val="Page Numbers (Bottom of Page)"/>
        <w:docPartUnique/>
      </w:docPartObj>
    </w:sdtPr>
    <w:sdtEndPr>
      <w:rPr>
        <w:noProof/>
      </w:rPr>
    </w:sdtEndPr>
    <w:sdtContent>
      <w:p w:rsidR="005C128B" w:rsidRDefault="005C128B" w14:paraId="28AEE08C" w14:textId="34CDFC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C128B" w:rsidP="005C128B" w:rsidRDefault="005C128B" w14:paraId="043807B6"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E7E" w:rsidP="005C128B" w:rsidRDefault="00754E7E" w14:paraId="76F53BAD" w14:textId="77777777">
      <w:r>
        <w:separator/>
      </w:r>
    </w:p>
  </w:footnote>
  <w:footnote w:type="continuationSeparator" w:id="0">
    <w:p w:rsidR="00754E7E" w:rsidP="005C128B" w:rsidRDefault="00754E7E" w14:paraId="3838E7EF" w14:textId="77777777">
      <w:r>
        <w:continuationSeparator/>
      </w:r>
    </w:p>
  </w:footnote>
  <w:footnote w:type="continuationNotice" w:id="1">
    <w:p w:rsidR="00754E7E" w:rsidRDefault="00754E7E" w14:paraId="35BE472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464BE"/>
    <w:multiLevelType w:val="hybridMultilevel"/>
    <w:tmpl w:val="5BB81EB6"/>
    <w:lvl w:ilvl="0" w:tplc="A7308E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67050"/>
    <w:multiLevelType w:val="multilevel"/>
    <w:tmpl w:val="4906E2E6"/>
    <w:lvl w:ilvl="0">
      <w:start w:val="1"/>
      <w:numFmt w:val="bullet"/>
      <w:lvlText w:val="o"/>
      <w:lvlJc w:val="left"/>
      <w:rPr>
        <w:rFonts w:hint="default" w:ascii="Courier New" w:hAnsi="Courier New" w:cs="Courier New"/>
      </w:rPr>
    </w:lvl>
    <w:lvl w:ilvl="1">
      <w:start w:val="1"/>
      <w:numFmt w:val="bullet"/>
      <w:lvlText w:val="o"/>
      <w:lvlJc w:val="left"/>
      <w:pPr>
        <w:ind w:left="360" w:hanging="360"/>
      </w:pPr>
      <w:rPr>
        <w:rFonts w:hint="default" w:ascii="Courier New" w:hAnsi="Courier New" w:cs="Courier New"/>
      </w:rPr>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 w15:restartNumberingAfterBreak="0">
    <w:nsid w:val="3DA53308"/>
    <w:multiLevelType w:val="hybridMultilevel"/>
    <w:tmpl w:val="CB564522"/>
    <w:lvl w:ilvl="0" w:tplc="04090001">
      <w:start w:val="1"/>
      <w:numFmt w:val="bullet"/>
      <w:lvlText w:val=""/>
      <w:lvlJc w:val="left"/>
      <w:pPr>
        <w:ind w:left="944"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F347547"/>
    <w:multiLevelType w:val="multilevel"/>
    <w:tmpl w:val="E2EAACE6"/>
    <w:lvl w:ilvl="0">
      <w:start w:val="1"/>
      <w:numFmt w:val="bullet"/>
      <w:lvlText w:val=""/>
      <w:lvlJc w:val="left"/>
      <w:rPr>
        <w:rFonts w:hint="default" w:ascii="Symbol" w:hAnsi="Symbol"/>
      </w:rPr>
    </w:lvl>
    <w:lvl w:ilvl="1">
      <w:start w:val="1"/>
      <w:numFmt w:val="bullet"/>
      <w:lvlText w:val="o"/>
      <w:lvlJc w:val="left"/>
      <w:pPr>
        <w:ind w:left="360" w:hanging="360"/>
      </w:pPr>
      <w:rPr>
        <w:rFonts w:hint="default" w:ascii="Courier New" w:hAnsi="Courier New" w:cs="Courier New"/>
      </w:rPr>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15:restartNumberingAfterBreak="0">
    <w:nsid w:val="473D2719"/>
    <w:multiLevelType w:val="multilevel"/>
    <w:tmpl w:val="4A38A836"/>
    <w:lvl w:ilvl="0">
      <w:start w:val="1"/>
      <w:numFmt w:val="decimal"/>
      <w:lvlText w:val="%1)"/>
      <w:legacy w:legacy="1" w:legacySpace="0" w:legacyIndent="0"/>
      <w:lvlJc w:val="left"/>
    </w:lvl>
    <w:lvl w:ilvl="1">
      <w:start w:val="1"/>
      <w:numFmt w:val="bullet"/>
      <w:lvlText w:val="o"/>
      <w:lvlJc w:val="left"/>
      <w:pPr>
        <w:ind w:left="360" w:hanging="360"/>
      </w:pPr>
      <w:rPr>
        <w:rFonts w:hint="default" w:ascii="Courier New" w:hAnsi="Courier New" w:cs="Courier New"/>
      </w:rPr>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5" w15:restartNumberingAfterBreak="0">
    <w:nsid w:val="598F1054"/>
    <w:multiLevelType w:val="hybridMultilevel"/>
    <w:tmpl w:val="D8F851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CC425F"/>
    <w:multiLevelType w:val="hybridMultilevel"/>
    <w:tmpl w:val="FD4630D0"/>
    <w:lvl w:ilvl="0" w:tplc="1B3A080A">
      <w:start w:val="1"/>
      <w:numFmt w:val="lowerLetter"/>
      <w:lvlText w:val="%1)"/>
      <w:lvlJc w:val="left"/>
      <w:pPr>
        <w:ind w:left="720" w:hanging="360"/>
      </w:pPr>
      <w:rPr>
        <w:rFonts w:hint="default"/>
        <w:color w:val="A02B93" w:themeColor="accent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25432"/>
    <w:multiLevelType w:val="hybridMultilevel"/>
    <w:tmpl w:val="AA0C2E2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38386192">
    <w:abstractNumId w:val="0"/>
  </w:num>
  <w:num w:numId="2" w16cid:durableId="2112431523">
    <w:abstractNumId w:val="4"/>
  </w:num>
  <w:num w:numId="3" w16cid:durableId="177695580">
    <w:abstractNumId w:val="7"/>
  </w:num>
  <w:num w:numId="4" w16cid:durableId="843664213">
    <w:abstractNumId w:val="3"/>
  </w:num>
  <w:num w:numId="5" w16cid:durableId="255674850">
    <w:abstractNumId w:val="1"/>
  </w:num>
  <w:num w:numId="6" w16cid:durableId="1935361201">
    <w:abstractNumId w:val="6"/>
  </w:num>
  <w:num w:numId="7" w16cid:durableId="189731168">
    <w:abstractNumId w:val="2"/>
  </w:num>
  <w:num w:numId="8" w16cid:durableId="1339574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55"/>
    <w:rsid w:val="00000000"/>
    <w:rsid w:val="00014F24"/>
    <w:rsid w:val="00022528"/>
    <w:rsid w:val="000457D6"/>
    <w:rsid w:val="00064CAB"/>
    <w:rsid w:val="00065E85"/>
    <w:rsid w:val="00095C6F"/>
    <w:rsid w:val="000E2F38"/>
    <w:rsid w:val="000E3126"/>
    <w:rsid w:val="000E6E9B"/>
    <w:rsid w:val="000E7DDF"/>
    <w:rsid w:val="000E7F21"/>
    <w:rsid w:val="00107255"/>
    <w:rsid w:val="00116B54"/>
    <w:rsid w:val="0012342C"/>
    <w:rsid w:val="00130696"/>
    <w:rsid w:val="0013082E"/>
    <w:rsid w:val="00157BD3"/>
    <w:rsid w:val="00167CFB"/>
    <w:rsid w:val="00187EAC"/>
    <w:rsid w:val="001D61D9"/>
    <w:rsid w:val="001E062D"/>
    <w:rsid w:val="002139B7"/>
    <w:rsid w:val="00216729"/>
    <w:rsid w:val="00217BFB"/>
    <w:rsid w:val="00287066"/>
    <w:rsid w:val="002B4067"/>
    <w:rsid w:val="002C0AB6"/>
    <w:rsid w:val="002E5EF5"/>
    <w:rsid w:val="002E69A7"/>
    <w:rsid w:val="00301B3C"/>
    <w:rsid w:val="0031005A"/>
    <w:rsid w:val="00331794"/>
    <w:rsid w:val="00354AF4"/>
    <w:rsid w:val="0036099E"/>
    <w:rsid w:val="00362186"/>
    <w:rsid w:val="003A75DD"/>
    <w:rsid w:val="003C3DF0"/>
    <w:rsid w:val="003E2578"/>
    <w:rsid w:val="003F1405"/>
    <w:rsid w:val="003F4232"/>
    <w:rsid w:val="003F4F8F"/>
    <w:rsid w:val="00404B96"/>
    <w:rsid w:val="00411C67"/>
    <w:rsid w:val="00423AE5"/>
    <w:rsid w:val="0042783C"/>
    <w:rsid w:val="004349B5"/>
    <w:rsid w:val="004759EB"/>
    <w:rsid w:val="004C4255"/>
    <w:rsid w:val="004F2B60"/>
    <w:rsid w:val="004F629C"/>
    <w:rsid w:val="005217E7"/>
    <w:rsid w:val="0052678D"/>
    <w:rsid w:val="00530C92"/>
    <w:rsid w:val="00545704"/>
    <w:rsid w:val="005633EA"/>
    <w:rsid w:val="0057366F"/>
    <w:rsid w:val="005959CA"/>
    <w:rsid w:val="00597154"/>
    <w:rsid w:val="005A2D1A"/>
    <w:rsid w:val="005C128B"/>
    <w:rsid w:val="005C1858"/>
    <w:rsid w:val="005D11C3"/>
    <w:rsid w:val="005E2E6E"/>
    <w:rsid w:val="005F7483"/>
    <w:rsid w:val="00637D84"/>
    <w:rsid w:val="0064116C"/>
    <w:rsid w:val="00641226"/>
    <w:rsid w:val="00643F71"/>
    <w:rsid w:val="00657053"/>
    <w:rsid w:val="00660402"/>
    <w:rsid w:val="006616D2"/>
    <w:rsid w:val="00666153"/>
    <w:rsid w:val="006750D7"/>
    <w:rsid w:val="006A2DA8"/>
    <w:rsid w:val="006A4AB9"/>
    <w:rsid w:val="006B4159"/>
    <w:rsid w:val="006B5243"/>
    <w:rsid w:val="006E5CD0"/>
    <w:rsid w:val="006E675C"/>
    <w:rsid w:val="006F2F38"/>
    <w:rsid w:val="0070126E"/>
    <w:rsid w:val="00742D15"/>
    <w:rsid w:val="00754E7E"/>
    <w:rsid w:val="007569C9"/>
    <w:rsid w:val="00760093"/>
    <w:rsid w:val="00761EDD"/>
    <w:rsid w:val="007814FD"/>
    <w:rsid w:val="007859FF"/>
    <w:rsid w:val="007A602E"/>
    <w:rsid w:val="007C43C2"/>
    <w:rsid w:val="007D4FA2"/>
    <w:rsid w:val="007F7786"/>
    <w:rsid w:val="00803FEF"/>
    <w:rsid w:val="008058C4"/>
    <w:rsid w:val="00812959"/>
    <w:rsid w:val="00825776"/>
    <w:rsid w:val="008355F5"/>
    <w:rsid w:val="0083624F"/>
    <w:rsid w:val="00865EC7"/>
    <w:rsid w:val="00881E92"/>
    <w:rsid w:val="008B4B24"/>
    <w:rsid w:val="008F2DB6"/>
    <w:rsid w:val="008F4146"/>
    <w:rsid w:val="008F6F29"/>
    <w:rsid w:val="009275E8"/>
    <w:rsid w:val="009406A7"/>
    <w:rsid w:val="009471CC"/>
    <w:rsid w:val="00956E78"/>
    <w:rsid w:val="00971DCC"/>
    <w:rsid w:val="00990E35"/>
    <w:rsid w:val="009B2B9E"/>
    <w:rsid w:val="009B48FD"/>
    <w:rsid w:val="009C582A"/>
    <w:rsid w:val="009D4185"/>
    <w:rsid w:val="009E145C"/>
    <w:rsid w:val="009F5A9C"/>
    <w:rsid w:val="00A067CD"/>
    <w:rsid w:val="00A35A50"/>
    <w:rsid w:val="00A53483"/>
    <w:rsid w:val="00A61D55"/>
    <w:rsid w:val="00A93E91"/>
    <w:rsid w:val="00AA5947"/>
    <w:rsid w:val="00AD5DA6"/>
    <w:rsid w:val="00AF1B37"/>
    <w:rsid w:val="00AF3397"/>
    <w:rsid w:val="00AF33F2"/>
    <w:rsid w:val="00B16137"/>
    <w:rsid w:val="00B43AAC"/>
    <w:rsid w:val="00B45206"/>
    <w:rsid w:val="00B55345"/>
    <w:rsid w:val="00B62ACC"/>
    <w:rsid w:val="00B6620A"/>
    <w:rsid w:val="00B74E6C"/>
    <w:rsid w:val="00B75F58"/>
    <w:rsid w:val="00B82686"/>
    <w:rsid w:val="00B91E84"/>
    <w:rsid w:val="00BB1257"/>
    <w:rsid w:val="00BB4329"/>
    <w:rsid w:val="00BC3FF7"/>
    <w:rsid w:val="00BF4975"/>
    <w:rsid w:val="00C0150C"/>
    <w:rsid w:val="00C07317"/>
    <w:rsid w:val="00C1710E"/>
    <w:rsid w:val="00C22A50"/>
    <w:rsid w:val="00C333CA"/>
    <w:rsid w:val="00C3470C"/>
    <w:rsid w:val="00C60939"/>
    <w:rsid w:val="00C64FDB"/>
    <w:rsid w:val="00C65154"/>
    <w:rsid w:val="00C65F13"/>
    <w:rsid w:val="00C7767A"/>
    <w:rsid w:val="00C85B0C"/>
    <w:rsid w:val="00CA46C7"/>
    <w:rsid w:val="00CA4B9C"/>
    <w:rsid w:val="00CF2423"/>
    <w:rsid w:val="00D20291"/>
    <w:rsid w:val="00D539BB"/>
    <w:rsid w:val="00D54252"/>
    <w:rsid w:val="00D5475B"/>
    <w:rsid w:val="00D6753D"/>
    <w:rsid w:val="00D821A8"/>
    <w:rsid w:val="00D954E1"/>
    <w:rsid w:val="00DA02E8"/>
    <w:rsid w:val="00DC2E20"/>
    <w:rsid w:val="00DD7DDD"/>
    <w:rsid w:val="00DE041F"/>
    <w:rsid w:val="00DF15E5"/>
    <w:rsid w:val="00E06227"/>
    <w:rsid w:val="00E178D0"/>
    <w:rsid w:val="00E31AFA"/>
    <w:rsid w:val="00E3378B"/>
    <w:rsid w:val="00E547A2"/>
    <w:rsid w:val="00E56210"/>
    <w:rsid w:val="00E576E9"/>
    <w:rsid w:val="00E6499D"/>
    <w:rsid w:val="00E655A3"/>
    <w:rsid w:val="00E74287"/>
    <w:rsid w:val="00E85D92"/>
    <w:rsid w:val="00EB2996"/>
    <w:rsid w:val="00EB3503"/>
    <w:rsid w:val="00EE1D52"/>
    <w:rsid w:val="00EE65AD"/>
    <w:rsid w:val="00EE6B25"/>
    <w:rsid w:val="00EF5387"/>
    <w:rsid w:val="00F030BB"/>
    <w:rsid w:val="00F06B8A"/>
    <w:rsid w:val="00F178CE"/>
    <w:rsid w:val="00F51A0B"/>
    <w:rsid w:val="00F54CDB"/>
    <w:rsid w:val="00F92DE0"/>
    <w:rsid w:val="00FB1D2F"/>
    <w:rsid w:val="00FB6F7E"/>
    <w:rsid w:val="00FB7875"/>
    <w:rsid w:val="00FC3DA0"/>
    <w:rsid w:val="00FD4BBD"/>
    <w:rsid w:val="00FE2449"/>
    <w:rsid w:val="00FF7049"/>
    <w:rsid w:val="00FF751B"/>
    <w:rsid w:val="0173205C"/>
    <w:rsid w:val="01EFF04A"/>
    <w:rsid w:val="050E7891"/>
    <w:rsid w:val="07ACDDA9"/>
    <w:rsid w:val="090980F3"/>
    <w:rsid w:val="0AC8D403"/>
    <w:rsid w:val="0BB17AC5"/>
    <w:rsid w:val="0E4D8AC3"/>
    <w:rsid w:val="0F9209D9"/>
    <w:rsid w:val="1207A55E"/>
    <w:rsid w:val="121BB35C"/>
    <w:rsid w:val="1272606C"/>
    <w:rsid w:val="13F20F1D"/>
    <w:rsid w:val="13FD4847"/>
    <w:rsid w:val="1596F7B5"/>
    <w:rsid w:val="16A69C99"/>
    <w:rsid w:val="191E802A"/>
    <w:rsid w:val="197FFEAF"/>
    <w:rsid w:val="1A613646"/>
    <w:rsid w:val="1C64DD44"/>
    <w:rsid w:val="1CAA7637"/>
    <w:rsid w:val="1D593DDE"/>
    <w:rsid w:val="1F295B7D"/>
    <w:rsid w:val="1F330B07"/>
    <w:rsid w:val="1FE051AB"/>
    <w:rsid w:val="237FE694"/>
    <w:rsid w:val="2576E343"/>
    <w:rsid w:val="259159A8"/>
    <w:rsid w:val="25A5783C"/>
    <w:rsid w:val="26976E76"/>
    <w:rsid w:val="26AC5C4B"/>
    <w:rsid w:val="277F1A3B"/>
    <w:rsid w:val="29E0A101"/>
    <w:rsid w:val="2A894EE2"/>
    <w:rsid w:val="2AE2C8E0"/>
    <w:rsid w:val="2AEBE1FF"/>
    <w:rsid w:val="2BF2535D"/>
    <w:rsid w:val="2CD978F9"/>
    <w:rsid w:val="2D39CFCB"/>
    <w:rsid w:val="2E1C7137"/>
    <w:rsid w:val="2FDAC44F"/>
    <w:rsid w:val="304C8363"/>
    <w:rsid w:val="31F62D4E"/>
    <w:rsid w:val="335BCEC8"/>
    <w:rsid w:val="34427A82"/>
    <w:rsid w:val="38502F9A"/>
    <w:rsid w:val="39F750B6"/>
    <w:rsid w:val="3A81304C"/>
    <w:rsid w:val="3EC0F4DB"/>
    <w:rsid w:val="3ED5D304"/>
    <w:rsid w:val="40A9060F"/>
    <w:rsid w:val="4118C464"/>
    <w:rsid w:val="4167998E"/>
    <w:rsid w:val="41A97446"/>
    <w:rsid w:val="42328C84"/>
    <w:rsid w:val="425C0A9F"/>
    <w:rsid w:val="42CD6C26"/>
    <w:rsid w:val="44FE269F"/>
    <w:rsid w:val="472BDF81"/>
    <w:rsid w:val="487B2D32"/>
    <w:rsid w:val="48D57066"/>
    <w:rsid w:val="4906AF99"/>
    <w:rsid w:val="49221910"/>
    <w:rsid w:val="499667E0"/>
    <w:rsid w:val="4D30EFB4"/>
    <w:rsid w:val="4DEEED1F"/>
    <w:rsid w:val="4F3C4563"/>
    <w:rsid w:val="4F82E000"/>
    <w:rsid w:val="4F9BC27D"/>
    <w:rsid w:val="4F9D86D5"/>
    <w:rsid w:val="55F9B6B4"/>
    <w:rsid w:val="57445761"/>
    <w:rsid w:val="574B17AA"/>
    <w:rsid w:val="5AA0C05E"/>
    <w:rsid w:val="5AE9C584"/>
    <w:rsid w:val="5AF5C1D0"/>
    <w:rsid w:val="5B1691B3"/>
    <w:rsid w:val="5BAA3C0F"/>
    <w:rsid w:val="5DFC04E5"/>
    <w:rsid w:val="5EE41D1A"/>
    <w:rsid w:val="5FC6BADB"/>
    <w:rsid w:val="6346E17C"/>
    <w:rsid w:val="645AADA7"/>
    <w:rsid w:val="66EB6B02"/>
    <w:rsid w:val="678AE29B"/>
    <w:rsid w:val="68D569D8"/>
    <w:rsid w:val="697AF621"/>
    <w:rsid w:val="6AE87414"/>
    <w:rsid w:val="6D4F0421"/>
    <w:rsid w:val="6DC2E080"/>
    <w:rsid w:val="6F764EBB"/>
    <w:rsid w:val="6FA3C8B4"/>
    <w:rsid w:val="70113242"/>
    <w:rsid w:val="70BD9DFB"/>
    <w:rsid w:val="71051E68"/>
    <w:rsid w:val="75060983"/>
    <w:rsid w:val="77C1D76C"/>
    <w:rsid w:val="798398AD"/>
    <w:rsid w:val="79A5CFAE"/>
    <w:rsid w:val="7A16AFF6"/>
    <w:rsid w:val="7B375999"/>
    <w:rsid w:val="7B3C7C0B"/>
    <w:rsid w:val="7E3E1DBD"/>
    <w:rsid w:val="7EBF789E"/>
    <w:rsid w:val="7F28A1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A204"/>
  <w15:chartTrackingRefBased/>
  <w15:docId w15:val="{0A38BDFD-6C00-41B6-A2EB-2C350858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36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
    <w:qFormat/>
    <w:rsid w:val="001072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2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25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0725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0725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0725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0725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0725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07255"/>
    <w:rPr>
      <w:rFonts w:ascii="Times New Roman" w:hAnsi="Times New Roman" w:eastAsiaTheme="majorEastAsia" w:cstheme="majorBidi"/>
      <w:i/>
      <w:iCs/>
      <w:color w:val="595959" w:themeColor="text1" w:themeTint="A6"/>
      <w:kern w:val="0"/>
      <w14:ligatures w14:val="none"/>
    </w:rPr>
  </w:style>
  <w:style w:type="character" w:styleId="Heading7Char" w:customStyle="1">
    <w:name w:val="Heading 7 Char"/>
    <w:basedOn w:val="DefaultParagraphFont"/>
    <w:link w:val="Heading7"/>
    <w:uiPriority w:val="9"/>
    <w:semiHidden/>
    <w:rsid w:val="00107255"/>
    <w:rPr>
      <w:rFonts w:ascii="Times New Roman" w:hAnsi="Times New Roman" w:eastAsiaTheme="majorEastAsia" w:cstheme="majorBidi"/>
      <w:color w:val="595959" w:themeColor="text1" w:themeTint="A6"/>
      <w:kern w:val="0"/>
      <w14:ligatures w14:val="none"/>
    </w:rPr>
  </w:style>
  <w:style w:type="character" w:styleId="Heading8Char" w:customStyle="1">
    <w:name w:val="Heading 8 Char"/>
    <w:basedOn w:val="DefaultParagraphFont"/>
    <w:link w:val="Heading8"/>
    <w:uiPriority w:val="9"/>
    <w:semiHidden/>
    <w:rsid w:val="00107255"/>
    <w:rPr>
      <w:rFonts w:ascii="Times New Roman" w:hAnsi="Times New Roman" w:eastAsiaTheme="majorEastAsia" w:cstheme="majorBidi"/>
      <w:i/>
      <w:iCs/>
      <w:color w:val="272727" w:themeColor="text1" w:themeTint="D8"/>
      <w:kern w:val="0"/>
      <w14:ligatures w14:val="none"/>
    </w:rPr>
  </w:style>
  <w:style w:type="character" w:styleId="Heading9Char" w:customStyle="1">
    <w:name w:val="Heading 9 Char"/>
    <w:basedOn w:val="DefaultParagraphFont"/>
    <w:link w:val="Heading9"/>
    <w:uiPriority w:val="9"/>
    <w:semiHidden/>
    <w:rsid w:val="00107255"/>
    <w:rPr>
      <w:rFonts w:ascii="Times New Roman" w:hAnsi="Times New Roman"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10725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07255"/>
    <w:rPr>
      <w:rFonts w:asciiTheme="majorHAnsi" w:hAnsiTheme="majorHAnsi"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10725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0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255"/>
    <w:pPr>
      <w:spacing w:before="160"/>
      <w:jc w:val="center"/>
    </w:pPr>
    <w:rPr>
      <w:i/>
      <w:iCs/>
      <w:color w:val="404040" w:themeColor="text1" w:themeTint="BF"/>
    </w:rPr>
  </w:style>
  <w:style w:type="character" w:styleId="QuoteChar" w:customStyle="1">
    <w:name w:val="Quote Char"/>
    <w:basedOn w:val="DefaultParagraphFont"/>
    <w:link w:val="Quote"/>
    <w:uiPriority w:val="29"/>
    <w:rsid w:val="00107255"/>
    <w:rPr>
      <w:i/>
      <w:iCs/>
      <w:color w:val="404040" w:themeColor="text1" w:themeTint="BF"/>
    </w:rPr>
  </w:style>
  <w:style w:type="paragraph" w:styleId="ListParagraph">
    <w:name w:val="List Paragraph"/>
    <w:basedOn w:val="Normal"/>
    <w:uiPriority w:val="99"/>
    <w:qFormat/>
    <w:rsid w:val="00107255"/>
    <w:pPr>
      <w:ind w:left="720"/>
      <w:contextualSpacing/>
    </w:pPr>
  </w:style>
  <w:style w:type="character" w:styleId="IntenseEmphasis">
    <w:name w:val="Intense Emphasis"/>
    <w:basedOn w:val="DefaultParagraphFont"/>
    <w:uiPriority w:val="21"/>
    <w:qFormat/>
    <w:rsid w:val="00107255"/>
    <w:rPr>
      <w:i/>
      <w:iCs/>
      <w:color w:val="0F4761" w:themeColor="accent1" w:themeShade="BF"/>
    </w:rPr>
  </w:style>
  <w:style w:type="paragraph" w:styleId="IntenseQuote">
    <w:name w:val="Intense Quote"/>
    <w:basedOn w:val="Normal"/>
    <w:next w:val="Normal"/>
    <w:link w:val="IntenseQuoteChar"/>
    <w:uiPriority w:val="30"/>
    <w:qFormat/>
    <w:rsid w:val="001072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07255"/>
    <w:rPr>
      <w:i/>
      <w:iCs/>
      <w:color w:val="0F4761" w:themeColor="accent1" w:themeShade="BF"/>
    </w:rPr>
  </w:style>
  <w:style w:type="character" w:styleId="IntenseReference">
    <w:name w:val="Intense Reference"/>
    <w:basedOn w:val="DefaultParagraphFont"/>
    <w:uiPriority w:val="32"/>
    <w:qFormat/>
    <w:rsid w:val="00107255"/>
    <w:rPr>
      <w:b/>
      <w:bCs/>
      <w:smallCaps/>
      <w:color w:val="0F4761" w:themeColor="accent1" w:themeShade="BF"/>
      <w:spacing w:val="5"/>
    </w:rPr>
  </w:style>
  <w:style w:type="character" w:styleId="CommentReference">
    <w:name w:val="annotation reference"/>
    <w:semiHidden/>
    <w:rsid w:val="0057366F"/>
    <w:rPr>
      <w:sz w:val="16"/>
      <w:szCs w:val="16"/>
    </w:rPr>
  </w:style>
  <w:style w:type="paragraph" w:styleId="CommentText">
    <w:name w:val="annotation text"/>
    <w:basedOn w:val="Normal"/>
    <w:link w:val="CommentTextChar"/>
    <w:semiHidden/>
    <w:rsid w:val="0057366F"/>
    <w:rPr>
      <w:sz w:val="20"/>
      <w:szCs w:val="20"/>
    </w:rPr>
  </w:style>
  <w:style w:type="character" w:styleId="CommentTextChar" w:customStyle="1">
    <w:name w:val="Comment Text Char"/>
    <w:basedOn w:val="DefaultParagraphFont"/>
    <w:link w:val="CommentText"/>
    <w:semiHidden/>
    <w:rsid w:val="0057366F"/>
    <w:rPr>
      <w:rFonts w:ascii="Times New Roman" w:hAnsi="Times New Roman" w:eastAsia="Times New Roman" w:cs="Times New Roman"/>
      <w:kern w:val="0"/>
      <w:sz w:val="20"/>
      <w:szCs w:val="20"/>
      <w14:ligatures w14:val="none"/>
    </w:rPr>
  </w:style>
  <w:style w:type="paragraph" w:styleId="Level1" w:customStyle="1">
    <w:name w:val="Level 1"/>
    <w:rsid w:val="009B48FD"/>
    <w:pPr>
      <w:widowControl w:val="0"/>
      <w:autoSpaceDE w:val="0"/>
      <w:autoSpaceDN w:val="0"/>
      <w:adjustRightInd w:val="0"/>
      <w:spacing w:after="0" w:line="240" w:lineRule="auto"/>
      <w:ind w:left="720"/>
      <w:jc w:val="both"/>
    </w:pPr>
    <w:rPr>
      <w:rFonts w:ascii="Times New Roman" w:hAnsi="Times New Roman" w:eastAsia="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6A2DA8"/>
    <w:rPr>
      <w:b/>
      <w:bCs/>
    </w:rPr>
  </w:style>
  <w:style w:type="character" w:styleId="CommentSubjectChar" w:customStyle="1">
    <w:name w:val="Comment Subject Char"/>
    <w:basedOn w:val="CommentTextChar"/>
    <w:link w:val="CommentSubject"/>
    <w:uiPriority w:val="99"/>
    <w:semiHidden/>
    <w:rsid w:val="006A2DA8"/>
    <w:rPr>
      <w:rFonts w:ascii="Times New Roman" w:hAnsi="Times New Roman" w:eastAsia="Times New Roman" w:cs="Times New Roman"/>
      <w:b/>
      <w:bCs/>
      <w:kern w:val="0"/>
      <w:sz w:val="20"/>
      <w:szCs w:val="20"/>
      <w14:ligatures w14:val="none"/>
    </w:rPr>
  </w:style>
  <w:style w:type="table" w:styleId="TableGrid">
    <w:name w:val="Table Grid"/>
    <w:basedOn w:val="TableNormal"/>
    <w:uiPriority w:val="39"/>
    <w:rsid w:val="00FF70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C128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styleId="HeaderChar" w:customStyle="1">
    <w:name w:val="Header Char"/>
    <w:basedOn w:val="DefaultParagraphFont"/>
    <w:link w:val="Header"/>
    <w:uiPriority w:val="99"/>
    <w:rsid w:val="005C128B"/>
    <w:rPr>
      <w:rFonts w:ascii="Times New Roman" w:hAnsi="Times New Roman" w:eastAsia="Times New Roman" w:cs="Times New Roman"/>
      <w:kern w:val="0"/>
      <w14:ligatures w14:val="none"/>
    </w:rPr>
  </w:style>
  <w:style w:type="paragraph" w:styleId="Footer">
    <w:name w:val="footer"/>
    <w:basedOn w:val="Normal"/>
    <w:link w:val="FooterChar"/>
    <w:uiPriority w:val="99"/>
    <w:unhideWhenUsed/>
    <w:rsid w:val="005C128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styleId="FooterChar" w:customStyle="1">
    <w:name w:val="Footer Char"/>
    <w:basedOn w:val="DefaultParagraphFont"/>
    <w:link w:val="Footer"/>
    <w:uiPriority w:val="99"/>
    <w:rsid w:val="005C128B"/>
    <w:rPr>
      <w:rFonts w:ascii="Times New Roman" w:hAnsi="Times New Roman" w:eastAsia="Times New Roman" w:cs="Times New Roman"/>
      <w:kern w:val="0"/>
      <w14:ligatures w14:val="none"/>
    </w:rPr>
  </w:style>
  <w:style w:type="character" w:styleId="Hyperlink">
    <w:name w:val="Hyperlink"/>
    <w:basedOn w:val="DefaultParagraphFont"/>
    <w:uiPriority w:val="99"/>
    <w:unhideWhenUsed/>
    <w:rsid w:val="01EFF04A"/>
    <w:rPr>
      <w:color w:val="467886"/>
      <w:u w:val="single"/>
    </w:rPr>
  </w:style>
  <w:style w:type="character" w:styleId="FollowedHyperlink">
    <w:name w:val="FollowedHyperlink"/>
    <w:basedOn w:val="DefaultParagraphFont"/>
    <w:uiPriority w:val="99"/>
    <w:semiHidden/>
    <w:unhideWhenUsed/>
    <w:rsid w:val="00411C67"/>
    <w:rPr>
      <w:color w:val="96607D" w:themeColor="followedHyperlink"/>
      <w:u w:val="single"/>
    </w:rPr>
  </w:style>
  <w:style w:type="paragraph" w:styleId="Revision">
    <w:name w:val="Revision"/>
    <w:hidden/>
    <w:uiPriority w:val="99"/>
    <w:semiHidden/>
    <w:rsid w:val="00BF4975"/>
    <w:pPr>
      <w:spacing w:after="0" w:line="240" w:lineRule="auto"/>
    </w:pPr>
    <w:rPr>
      <w:rFonts w:ascii="Times New Roman" w:hAnsi="Times New Roman" w:eastAsia="Times New Roman" w:cs="Times New Roman"/>
      <w:kern w:val="0"/>
      <w14:ligatures w14:val="none"/>
    </w:rPr>
  </w:style>
  <w:style w:type="character" w:styleId="UnresolvedMention">
    <w:name w:val="Unresolved Mention"/>
    <w:basedOn w:val="DefaultParagraphFont"/>
    <w:uiPriority w:val="99"/>
    <w:semiHidden/>
    <w:unhideWhenUsed/>
    <w:rsid w:val="00803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rcg.is/1eP1LK0"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greatlakesphragmites.net/pamf/aamp-fundin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A5DC4A4F6A494B8D1F8521D1B3F3D5" ma:contentTypeVersion="26" ma:contentTypeDescription="Create a new document." ma:contentTypeScope="" ma:versionID="71943c2390aa65d6a9aa9c36bf5c9ac8">
  <xsd:schema xmlns:xsd="http://www.w3.org/2001/XMLSchema" xmlns:xs="http://www.w3.org/2001/XMLSchema" xmlns:p="http://schemas.microsoft.com/office/2006/metadata/properties" xmlns:ns2="e7eadaf5-1b89-40ab-a89f-e5519f77533a" xmlns:ns3="154c9e70-2803-4983-8a53-8242ece63af2" targetNamespace="http://schemas.microsoft.com/office/2006/metadata/properties" ma:root="true" ma:fieldsID="2f03aa68e19c82b05301675b921e3730" ns2:_="" ns3:_="">
    <xsd:import namespace="e7eadaf5-1b89-40ab-a89f-e5519f77533a"/>
    <xsd:import namespace="154c9e70-2803-4983-8a53-8242ece63af2"/>
    <xsd:element name="properties">
      <xsd:complexType>
        <xsd:sequence>
          <xsd:element name="documentManagement">
            <xsd:complexType>
              <xsd:all>
                <xsd:element ref="ns2:description" minOccurs="0"/>
                <xsd:element ref="ns2:Date_x0020_created" minOccurs="0"/>
                <xsd:element ref="ns2:Tag" minOccurs="0"/>
                <xsd:element ref="ns2:Thumbnail" minOccurs="0"/>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Date_x0020_created_x003a_Created"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adaf5-1b89-40ab-a89f-e5519f77533a" elementFormDefault="qualified">
    <xsd:import namespace="http://schemas.microsoft.com/office/2006/documentManagement/types"/>
    <xsd:import namespace="http://schemas.microsoft.com/office/infopath/2007/PartnerControls"/>
    <xsd:element name="description" ma:index="2" nillable="true" ma:displayName="description" ma:format="Dropdown" ma:internalName="description" ma:readOnly="false">
      <xsd:simpleType>
        <xsd:restriction base="dms:Note">
          <xsd:maxLength value="255"/>
        </xsd:restriction>
      </xsd:simpleType>
    </xsd:element>
    <xsd:element name="Date_x0020_created" ma:index="3" nillable="true" ma:displayName="Date created" ma:description="Date created" ma:list="{e7eadaf5-1b89-40ab-a89f-e5519f77533a}" ma:internalName="Date_x0020_created" ma:readOnly="false" ma:showField="Title">
      <xsd:simpleType>
        <xsd:restriction base="dms:Lookup"/>
      </xsd:simpleType>
    </xsd:element>
    <xsd:element name="Tag" ma:index="4" nillable="true" ma:displayName="Tag" ma:format="Dropdown" ma:internalName="Tag" ma:readOnly="false">
      <xsd:complexType>
        <xsd:complexContent>
          <xsd:extension base="dms:MultiChoiceFillIn">
            <xsd:sequence>
              <xsd:element name="Value" maxOccurs="unbounded" minOccurs="0" nillable="true">
                <xsd:simpleType>
                  <xsd:union memberTypes="dms:Text">
                    <xsd:simpleType>
                      <xsd:restriction base="dms:Choice">
                        <xsd:enumeration value="Animals"/>
                        <xsd:enumeration value="Calipers"/>
                        <xsd:enumeration value="Enrolling"/>
                        <xsd:enumeration value="Hazards"/>
                        <xsd:enumeration value="How-to"/>
                        <xsd:enumeration value="Insects"/>
                        <xsd:enumeration value="Monitoring"/>
                        <xsd:enumeration value="Other plants"/>
                        <xsd:enumeration value="Participants"/>
                        <xsd:enumeration value="Personnel"/>
                        <xsd:enumeration value="Phrag ID"/>
                        <xsd:enumeration value="Phrag stress"/>
                        <xsd:enumeration value="Phragmites"/>
                        <xsd:enumeration value="Quadrat"/>
                        <xsd:enumeration value="Scenic"/>
                        <xsd:enumeration value="Social media"/>
                        <xsd:enumeration value="Water"/>
                      </xsd:restriction>
                    </xsd:simpleType>
                  </xsd:union>
                </xsd:simpleType>
              </xsd:element>
            </xsd:sequence>
          </xsd:extension>
        </xsd:complexContent>
      </xsd:complexType>
    </xsd:element>
    <xsd:element name="Thumbnail" ma:index="6" nillable="true" ma:displayName="Thumbnail" ma:format="Thumbnail" ma:internalName="Thumbnail" ma:readOnly="false">
      <xsd:simpleType>
        <xsd:restriction base="dms:Unknown"/>
      </xsd:simpleType>
    </xsd:element>
    <xsd:element name="Notes" ma:index="7"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Date_x0020_created_x003a_Created" ma:index="20" nillable="true" ma:displayName="Date created:Created" ma:hidden="true" ma:list="{e7eadaf5-1b89-40ab-a89f-e5519f77533a}" ma:internalName="Date_x0020_created_x003a_Created" ma:readOnly="true" ma:showField="Created" ma:web="154c9e70-2803-4983-8a53-8242ece63af2">
      <xsd:simpleType>
        <xsd:restriction base="dms:Lookup"/>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5cc821e-2d21-4e10-a7c5-d9056e882d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4c9e70-2803-4983-8a53-8242ece63af2"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c5b681eb-1042-44bb-a211-21160c448477}" ma:internalName="TaxCatchAll" ma:readOnly="false" ma:showField="CatchAllData" ma:web="154c9e70-2803-4983-8a53-8242ece63a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eadaf5-1b89-40ab-a89f-e5519f77533a">
      <Terms xmlns="http://schemas.microsoft.com/office/infopath/2007/PartnerControls"/>
    </lcf76f155ced4ddcb4097134ff3c332f>
    <Date_x0020_created xmlns="e7eadaf5-1b89-40ab-a89f-e5519f77533a" xsi:nil="true"/>
    <description xmlns="e7eadaf5-1b89-40ab-a89f-e5519f77533a" xsi:nil="true"/>
    <Tag xmlns="e7eadaf5-1b89-40ab-a89f-e5519f77533a" xsi:nil="true"/>
    <Thumbnail xmlns="e7eadaf5-1b89-40ab-a89f-e5519f77533a" xsi:nil="true"/>
    <TaxCatchAll xmlns="154c9e70-2803-4983-8a53-8242ece63af2" xsi:nil="true"/>
    <Notes xmlns="e7eadaf5-1b89-40ab-a89f-e5519f77533a" xsi:nil="true"/>
  </documentManagement>
</p:properties>
</file>

<file path=customXml/itemProps1.xml><?xml version="1.0" encoding="utf-8"?>
<ds:datastoreItem xmlns:ds="http://schemas.openxmlformats.org/officeDocument/2006/customXml" ds:itemID="{2F89779C-AAE2-44A7-9998-9BA498EF623B}">
  <ds:schemaRefs>
    <ds:schemaRef ds:uri="http://schemas.microsoft.com/sharepoint/v3/contenttype/forms"/>
  </ds:schemaRefs>
</ds:datastoreItem>
</file>

<file path=customXml/itemProps2.xml><?xml version="1.0" encoding="utf-8"?>
<ds:datastoreItem xmlns:ds="http://schemas.openxmlformats.org/officeDocument/2006/customXml" ds:itemID="{46803638-1BD7-4428-8A4D-3C6CB2982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adaf5-1b89-40ab-a89f-e5519f77533a"/>
    <ds:schemaRef ds:uri="154c9e70-2803-4983-8a53-8242ece63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5BE87-1318-4541-A69C-CF281CFC0B68}">
  <ds:schemaRefs>
    <ds:schemaRef ds:uri="http://schemas.microsoft.com/office/2006/metadata/properties"/>
    <ds:schemaRef ds:uri="http://schemas.microsoft.com/office/infopath/2007/PartnerControls"/>
    <ds:schemaRef ds:uri="e7eadaf5-1b89-40ab-a89f-e5519f77533a"/>
    <ds:schemaRef ds:uri="154c9e70-2803-4983-8a53-8242ece63af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Taaja Tucker-Silva</dc:creator>
  <keywords/>
  <dc:description/>
  <lastModifiedBy>Autumn McGowan</lastModifiedBy>
  <revision>12</revision>
  <dcterms:created xsi:type="dcterms:W3CDTF">2026-01-28T15:16:00.0000000Z</dcterms:created>
  <dcterms:modified xsi:type="dcterms:W3CDTF">2026-03-10T12:38:39.7022715Z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0x0101002BA5DC4A4F6A494B8D1F8521D1B3F3D5</vt:lpwstr>
  </property>
  <property fmtid="{D5CDD505-2E9C-101B-9397-08002B2CF9AE}" pid="3" name="MediaServiceImageTags">
    <vt:lpwstr/>
  </property>
</Properties>
</file>